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CB14E" w14:textId="40C4A109" w:rsidR="00BB4AD6" w:rsidRPr="006E473F" w:rsidRDefault="00BB4AD6" w:rsidP="00BB4AD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566278">
        <w:rPr>
          <w:rFonts w:eastAsia="Batang" w:cs="Arial"/>
          <w:b/>
          <w:bCs/>
          <w:sz w:val="24"/>
          <w:szCs w:val="24"/>
          <w:lang w:val="en-US"/>
        </w:rPr>
        <w:t xml:space="preserve">Meeting </w:t>
      </w:r>
      <w:r w:rsidR="00566278" w:rsidRPr="00713586">
        <w:rPr>
          <w:rFonts w:eastAsia="Batang" w:cs="Arial"/>
          <w:b/>
          <w:bCs/>
          <w:sz w:val="24"/>
          <w:szCs w:val="24"/>
          <w:lang w:val="en-US"/>
        </w:rPr>
        <w:t>#</w:t>
      </w:r>
      <w:r w:rsidR="007115FC">
        <w:rPr>
          <w:rFonts w:eastAsia="Batang" w:cs="Arial"/>
          <w:b/>
          <w:bCs/>
          <w:sz w:val="24"/>
          <w:szCs w:val="24"/>
          <w:lang w:val="en-US"/>
        </w:rPr>
        <w:t>91</w:t>
      </w:r>
      <w:r w:rsidRPr="006E473F">
        <w:rPr>
          <w:rFonts w:hint="eastAsia"/>
          <w:b/>
          <w:sz w:val="24"/>
          <w:szCs w:val="24"/>
          <w:lang w:eastAsia="ko-KR"/>
        </w:rPr>
        <w:tab/>
      </w:r>
      <w:r w:rsidRPr="00A84934">
        <w:rPr>
          <w:rFonts w:hint="eastAsia"/>
          <w:b/>
          <w:sz w:val="24"/>
          <w:szCs w:val="24"/>
          <w:lang w:eastAsia="ko-KR"/>
        </w:rPr>
        <w:t>R1-</w:t>
      </w:r>
      <w:r w:rsidRPr="00A84934">
        <w:rPr>
          <w:b/>
          <w:noProof/>
          <w:sz w:val="24"/>
          <w:szCs w:val="24"/>
          <w:lang w:eastAsia="ko-KR"/>
        </w:rPr>
        <w:t>17</w:t>
      </w:r>
      <w:r w:rsidR="00DE6338">
        <w:rPr>
          <w:b/>
          <w:noProof/>
          <w:sz w:val="24"/>
          <w:szCs w:val="24"/>
          <w:lang w:eastAsia="ko-KR"/>
        </w:rPr>
        <w:t>20298</w:t>
      </w:r>
      <w:bookmarkStart w:id="2" w:name="_GoBack"/>
      <w:bookmarkEnd w:id="2"/>
    </w:p>
    <w:bookmarkEnd w:id="0"/>
    <w:bookmarkEnd w:id="1"/>
    <w:p w14:paraId="166D22DA" w14:textId="77777777" w:rsidR="007115FC" w:rsidRDefault="007115FC" w:rsidP="007115FC">
      <w:pPr>
        <w:tabs>
          <w:tab w:val="left" w:pos="1985"/>
        </w:tabs>
        <w:ind w:left="2040" w:hangingChars="850" w:hanging="2040"/>
        <w:rPr>
          <w:rFonts w:ascii="Arial" w:eastAsia="MS Mincho" w:hAnsi="Arial" w:cs="Arial"/>
          <w:b/>
          <w:bCs/>
          <w:sz w:val="24"/>
          <w:lang w:val="en-US" w:eastAsia="ja-JP"/>
        </w:rPr>
      </w:pPr>
      <w:r>
        <w:rPr>
          <w:rFonts w:ascii="Arial" w:eastAsia="MS Mincho" w:hAnsi="Arial" w:cs="Arial"/>
          <w:b/>
          <w:bCs/>
          <w:sz w:val="24"/>
          <w:lang w:val="en-US"/>
        </w:rPr>
        <w:t>Reno, USA, 27</w:t>
      </w:r>
      <w:r w:rsidRPr="00C15E45">
        <w:rPr>
          <w:rFonts w:ascii="Arial" w:eastAsia="MS Mincho" w:hAnsi="Arial" w:cs="Arial"/>
          <w:b/>
          <w:bCs/>
          <w:sz w:val="24"/>
          <w:vertAlign w:val="superscript"/>
          <w:lang w:val="en-US"/>
        </w:rPr>
        <w:t>th</w:t>
      </w:r>
      <w:r>
        <w:rPr>
          <w:rFonts w:ascii="Arial" w:eastAsia="MS Mincho" w:hAnsi="Arial" w:cs="Arial"/>
          <w:b/>
          <w:bCs/>
          <w:sz w:val="24"/>
          <w:lang w:val="en-US"/>
        </w:rPr>
        <w:t xml:space="preserve"> November – 1</w:t>
      </w:r>
      <w:r w:rsidRPr="00C15E45">
        <w:rPr>
          <w:rFonts w:ascii="Arial" w:eastAsia="MS Mincho" w:hAnsi="Arial" w:cs="Arial"/>
          <w:b/>
          <w:bCs/>
          <w:sz w:val="24"/>
          <w:vertAlign w:val="superscript"/>
          <w:lang w:val="en-US"/>
        </w:rPr>
        <w:t>st</w:t>
      </w:r>
      <w:r>
        <w:rPr>
          <w:rFonts w:ascii="Arial" w:eastAsia="MS Mincho" w:hAnsi="Arial" w:cs="Arial"/>
          <w:b/>
          <w:bCs/>
          <w:sz w:val="24"/>
          <w:lang w:val="en-US"/>
        </w:rPr>
        <w:t xml:space="preserve"> December</w:t>
      </w:r>
      <w:r w:rsidRPr="00267B3E">
        <w:rPr>
          <w:rFonts w:ascii="Arial" w:eastAsia="MS Mincho" w:hAnsi="Arial" w:cs="Arial"/>
          <w:b/>
          <w:bCs/>
          <w:sz w:val="24"/>
          <w:lang w:val="en-US" w:eastAsia="ja-JP"/>
        </w:rPr>
        <w:t xml:space="preserve"> 2017</w:t>
      </w:r>
    </w:p>
    <w:p w14:paraId="1511A1CA" w14:textId="222BDF6F"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66278">
        <w:rPr>
          <w:rFonts w:ascii="Arial" w:hAnsi="Arial"/>
          <w:sz w:val="24"/>
        </w:rPr>
        <w:t>7</w:t>
      </w:r>
      <w:r w:rsidR="00BB4AD6">
        <w:rPr>
          <w:rFonts w:ascii="Arial" w:hAnsi="Arial"/>
          <w:sz w:val="24"/>
          <w:lang w:eastAsia="ko-KR"/>
        </w:rPr>
        <w:t>.</w:t>
      </w:r>
      <w:r w:rsidR="00815EBF">
        <w:rPr>
          <w:rFonts w:ascii="Arial" w:hAnsi="Arial"/>
          <w:sz w:val="24"/>
          <w:lang w:eastAsia="ko-KR"/>
        </w:rPr>
        <w:t>2.</w:t>
      </w:r>
      <w:r w:rsidR="00BB4AD6">
        <w:rPr>
          <w:rFonts w:ascii="Arial" w:hAnsi="Arial"/>
          <w:sz w:val="24"/>
          <w:lang w:eastAsia="ko-KR"/>
        </w:rPr>
        <w:t>2.6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A525946"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F0296" w:rsidRPr="009F0296">
        <w:rPr>
          <w:rFonts w:ascii="Arial" w:hAnsi="Arial"/>
          <w:sz w:val="24"/>
        </w:rPr>
        <w:t>Differential reporting for Type II CSI</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0C07B0B6" w:rsidR="005A6772" w:rsidRDefault="000C613A" w:rsidP="000C613A">
      <w:pPr>
        <w:spacing w:after="60"/>
        <w:rPr>
          <w:lang w:val="en-US"/>
        </w:rPr>
      </w:pPr>
      <w:r>
        <w:rPr>
          <w:lang w:val="en-US"/>
        </w:rPr>
        <w:t>I</w:t>
      </w:r>
      <w:r w:rsidRPr="008E3105">
        <w:rPr>
          <w:lang w:val="en-US"/>
        </w:rPr>
        <w:t>n RAN1</w:t>
      </w:r>
      <w:r>
        <w:rPr>
          <w:lang w:val="en-US"/>
        </w:rPr>
        <w:t>#89</w:t>
      </w:r>
      <w:r w:rsidR="00B828ED">
        <w:rPr>
          <w:lang w:val="en-US"/>
        </w:rPr>
        <w:t xml:space="preserve"> [1]</w:t>
      </w:r>
      <w:r w:rsidRPr="008E3105">
        <w:rPr>
          <w:lang w:val="en-US"/>
        </w:rPr>
        <w:t xml:space="preserve">, the following agreement </w:t>
      </w:r>
      <w:r>
        <w:rPr>
          <w:lang w:val="en-US"/>
        </w:rPr>
        <w:t>about</w:t>
      </w:r>
      <w:r w:rsidRPr="008E3105">
        <w:rPr>
          <w:lang w:val="en-US"/>
        </w:rPr>
        <w:t xml:space="preserve"> </w:t>
      </w:r>
      <w:r>
        <w:rPr>
          <w:lang w:val="en-US"/>
        </w:rPr>
        <w:t>Type I and Type II CSI</w:t>
      </w:r>
      <w:r w:rsidRPr="008E3105">
        <w:rPr>
          <w:lang w:val="en-US"/>
        </w:rPr>
        <w:t xml:space="preserve"> </w:t>
      </w:r>
      <w:r>
        <w:rPr>
          <w:lang w:val="en-US"/>
        </w:rPr>
        <w:t>codebooks</w:t>
      </w:r>
      <w:r w:rsidR="00F0105F">
        <w:rPr>
          <w:lang w:val="en-US"/>
        </w:rPr>
        <w:t xml:space="preserve"> </w:t>
      </w:r>
      <w:r>
        <w:rPr>
          <w:lang w:val="en-US"/>
        </w:rPr>
        <w:t>was</w:t>
      </w:r>
      <w:r w:rsidRPr="008E3105">
        <w:rPr>
          <w:lang w:val="en-US"/>
        </w:rPr>
        <w:t xml:space="preserve"> made</w:t>
      </w:r>
      <w:r>
        <w:rPr>
          <w:lang w:val="en-US"/>
        </w:rPr>
        <w:t>.</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32531A05" w14:textId="77777777" w:rsidR="000C613A" w:rsidRPr="00A12A80" w:rsidRDefault="000C613A" w:rsidP="000C613A">
            <w:pPr>
              <w:spacing w:before="0" w:after="0" w:line="240" w:lineRule="auto"/>
              <w:ind w:left="1440" w:hanging="1440"/>
              <w:jc w:val="left"/>
              <w:rPr>
                <w:rFonts w:ascii="Times" w:eastAsia="MS Mincho" w:hAnsi="Times"/>
                <w:lang w:eastAsia="ja-JP"/>
              </w:rPr>
            </w:pPr>
            <w:r w:rsidRPr="00A12A80">
              <w:rPr>
                <w:rFonts w:ascii="Times" w:eastAsia="MS Mincho" w:hAnsi="Times"/>
                <w:highlight w:val="green"/>
                <w:lang w:eastAsia="ja-JP"/>
              </w:rPr>
              <w:t>Agreements</w:t>
            </w:r>
            <w:r w:rsidRPr="00A12A80">
              <w:rPr>
                <w:rFonts w:ascii="Times" w:eastAsia="MS Mincho" w:hAnsi="Times"/>
                <w:lang w:eastAsia="ja-JP"/>
              </w:rPr>
              <w:t>:</w:t>
            </w:r>
          </w:p>
          <w:p w14:paraId="391A12B3" w14:textId="77777777" w:rsidR="000C613A" w:rsidRPr="00A12A80" w:rsidRDefault="000C613A" w:rsidP="000C613A">
            <w:pPr>
              <w:numPr>
                <w:ilvl w:val="0"/>
                <w:numId w:val="43"/>
              </w:numPr>
              <w:spacing w:before="0" w:after="0" w:line="240" w:lineRule="auto"/>
              <w:jc w:val="left"/>
              <w:rPr>
                <w:rFonts w:ascii="Times" w:eastAsia="MS Mincho" w:hAnsi="Times"/>
                <w:lang w:eastAsia="ja-JP"/>
              </w:rPr>
            </w:pPr>
            <w:r w:rsidRPr="00A12A80">
              <w:rPr>
                <w:rFonts w:ascii="Times" w:eastAsia="MS Mincho" w:hAnsi="Times"/>
                <w:lang w:eastAsia="ja-JP"/>
              </w:rPr>
              <w:t xml:space="preserve">Slides 4 to 24 in </w:t>
            </w:r>
            <w:hyperlink r:id="rId8" w:history="1">
              <w:r w:rsidRPr="00A12A80">
                <w:rPr>
                  <w:rFonts w:ascii="Times" w:eastAsia="MS Mincho" w:hAnsi="Times"/>
                  <w:color w:val="0000FF"/>
                  <w:u w:val="single"/>
                  <w:lang w:eastAsia="ja-JP"/>
                </w:rPr>
                <w:t>R1-1709232</w:t>
              </w:r>
            </w:hyperlink>
            <w:r w:rsidRPr="00A12A80">
              <w:rPr>
                <w:rFonts w:ascii="Times" w:eastAsia="MS Mincho" w:hAnsi="Times"/>
                <w:lang w:eastAsia="ja-JP"/>
              </w:rPr>
              <w:t xml:space="preserve"> are agreed</w:t>
            </w:r>
          </w:p>
          <w:p w14:paraId="384C318C" w14:textId="77777777" w:rsidR="000C613A" w:rsidRPr="00A12A80" w:rsidRDefault="000C613A" w:rsidP="000C613A">
            <w:pPr>
              <w:numPr>
                <w:ilvl w:val="1"/>
                <w:numId w:val="43"/>
              </w:numPr>
              <w:spacing w:before="0" w:after="0" w:line="240" w:lineRule="auto"/>
              <w:jc w:val="left"/>
              <w:rPr>
                <w:rFonts w:ascii="Times" w:eastAsia="MS Mincho" w:hAnsi="Times"/>
                <w:lang w:eastAsia="ja-JP"/>
              </w:rPr>
            </w:pPr>
            <w:r w:rsidRPr="00A12A80">
              <w:rPr>
                <w:rFonts w:ascii="Times" w:eastAsia="MS Mincho" w:hAnsi="Times"/>
                <w:lang w:eastAsia="ja-JP"/>
              </w:rPr>
              <w:t>For slide 20, FFS whether or not support frequency-dependent parameterization and if so, the details</w:t>
            </w:r>
          </w:p>
          <w:p w14:paraId="257E6276" w14:textId="2C128A48" w:rsidR="004A53B5" w:rsidRPr="000C613A" w:rsidRDefault="000C613A" w:rsidP="000C613A">
            <w:pPr>
              <w:numPr>
                <w:ilvl w:val="1"/>
                <w:numId w:val="43"/>
              </w:numPr>
              <w:spacing w:before="0" w:line="240" w:lineRule="auto"/>
              <w:jc w:val="left"/>
              <w:rPr>
                <w:rFonts w:ascii="Times" w:eastAsia="MS Mincho" w:hAnsi="Times"/>
                <w:lang w:eastAsia="ja-JP"/>
              </w:rPr>
            </w:pPr>
            <w:r w:rsidRPr="00A12A80">
              <w:rPr>
                <w:rFonts w:ascii="Times" w:eastAsia="MS Mincho" w:hAnsi="Times"/>
                <w:lang w:eastAsia="ja-JP"/>
              </w:rPr>
              <w:t>FFS whether or not to further enhance analog beamforming related operations especially for &gt;1 layers</w:t>
            </w:r>
          </w:p>
        </w:tc>
      </w:tr>
    </w:tbl>
    <w:p w14:paraId="3905087B" w14:textId="51AA8996" w:rsidR="00AD6148" w:rsidRPr="001A574F" w:rsidRDefault="001A574F" w:rsidP="001A574F">
      <w:pPr>
        <w:spacing w:after="60"/>
        <w:rPr>
          <w:lang w:val="en-US"/>
        </w:rPr>
      </w:pPr>
      <w:r>
        <w:t>T</w:t>
      </w:r>
      <w:r w:rsidRPr="008C3FDD">
        <w:t xml:space="preserve">his </w:t>
      </w:r>
      <w:r w:rsidRPr="00452B4C">
        <w:t xml:space="preserve">contribution proposes </w:t>
      </w:r>
      <w:r>
        <w:t xml:space="preserve">a </w:t>
      </w:r>
      <w:r w:rsidRPr="00452B4C">
        <w:t>differential</w:t>
      </w:r>
      <w:r>
        <w:t xml:space="preserve"> Type II</w:t>
      </w:r>
      <w:r w:rsidRPr="00452B4C">
        <w:t xml:space="preserve"> CSI reporting</w:t>
      </w:r>
      <w:r>
        <w:t xml:space="preserve"> mechanism in which payload is reduced in each CSI reporting instance.</w:t>
      </w:r>
      <w:r w:rsidR="00560F2D">
        <w:t xml:space="preserve"> </w:t>
      </w:r>
      <w:r w:rsidR="001C4ABD">
        <w:t xml:space="preserve">Simulation results are provided to show that the proposed differential Type II CSI reporting mechanism maintains good performance </w:t>
      </w:r>
      <w:r w:rsidR="008D52EE">
        <w:t>with</w:t>
      </w:r>
      <w:r w:rsidR="001C4ABD">
        <w:t xml:space="preserve"> lower CSI reporting pay</w:t>
      </w:r>
      <w:r w:rsidR="009279B7">
        <w:t>load in each reporting instance.</w:t>
      </w:r>
      <w:r w:rsidR="001C4ABD">
        <w:t xml:space="preserve"> </w:t>
      </w:r>
      <w:r w:rsidR="000378F0">
        <w:t>This contribution is a resubmission of R1-171</w:t>
      </w:r>
      <w:r w:rsidR="007115FC">
        <w:t>7615</w:t>
      </w:r>
      <w:r w:rsidR="000378F0">
        <w:t>.</w:t>
      </w:r>
      <w:r w:rsidR="001C4ABD">
        <w:t xml:space="preserve"> </w:t>
      </w:r>
    </w:p>
    <w:p w14:paraId="3E14F22A" w14:textId="0DD26A69" w:rsidR="00C41136" w:rsidRDefault="00C41136" w:rsidP="002958FD">
      <w:pPr>
        <w:pStyle w:val="Heading1"/>
      </w:pPr>
      <w:bookmarkStart w:id="5" w:name="_Ref446598642"/>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6" w:name="_Ref468893754"/>
      <w:r>
        <w:t xml:space="preserve">Table </w:t>
      </w:r>
      <w:r>
        <w:fldChar w:fldCharType="begin"/>
      </w:r>
      <w:r>
        <w:instrText xml:space="preserve"> SEQ Table \* ARABIC </w:instrText>
      </w:r>
      <w:r>
        <w:fldChar w:fldCharType="separate"/>
      </w:r>
      <w:r w:rsidR="007330D4">
        <w:rPr>
          <w:noProof/>
        </w:rPr>
        <w:t>1</w:t>
      </w:r>
      <w:r>
        <w:rPr>
          <w:noProof/>
        </w:rPr>
        <w:fldChar w:fldCharType="end"/>
      </w:r>
      <w:bookmarkEnd w:id="6"/>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E11222" w14:paraId="1E5F3F60" w14:textId="77777777" w:rsidTr="00FA6ECB">
        <w:trPr>
          <w:jc w:val="center"/>
        </w:trPr>
        <w:tc>
          <w:tcPr>
            <w:tcW w:w="0" w:type="auto"/>
            <w:vAlign w:val="center"/>
          </w:tcPr>
          <w:p w14:paraId="33F93738" w14:textId="4E7C12F0" w:rsidR="00E11222" w:rsidRDefault="00E11222" w:rsidP="00E11222">
            <w:pPr>
              <w:spacing w:after="60" w:line="240" w:lineRule="auto"/>
              <w:jc w:val="center"/>
            </w:pPr>
            <w:r>
              <w:t>6</w:t>
            </w:r>
          </w:p>
        </w:tc>
        <w:tc>
          <w:tcPr>
            <w:tcW w:w="0" w:type="auto"/>
            <w:vAlign w:val="center"/>
          </w:tcPr>
          <w:p w14:paraId="7AC83AD4" w14:textId="08EF6572" w:rsidR="00E11222" w:rsidRDefault="00E11222" w:rsidP="00E11222">
            <w:pPr>
              <w:spacing w:after="60" w:line="240" w:lineRule="auto"/>
              <w:jc w:val="center"/>
            </w:pPr>
            <w:r>
              <w:t>33</w:t>
            </w:r>
          </w:p>
        </w:tc>
        <w:tc>
          <w:tcPr>
            <w:tcW w:w="0" w:type="auto"/>
            <w:vAlign w:val="center"/>
          </w:tcPr>
          <w:p w14:paraId="6E85CEE6" w14:textId="63137B3D" w:rsidR="00E11222" w:rsidRDefault="00E11222" w:rsidP="00E11222">
            <w:pPr>
              <w:spacing w:after="60" w:line="240" w:lineRule="auto"/>
              <w:jc w:val="center"/>
            </w:pPr>
            <w:r>
              <w:t>33 × 2 = 66</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3EDE2D9C" w:rsidR="00192793" w:rsidRDefault="00DF186B" w:rsidP="00192793">
      <w:pPr>
        <w:pStyle w:val="maintext"/>
        <w:spacing w:after="120"/>
        <w:ind w:firstLineChars="0" w:firstLine="0"/>
      </w:pPr>
      <w:r>
        <w:rPr>
          <w:iCs/>
        </w:rPr>
        <w:t xml:space="preserve">One-shot reporting of </w:t>
      </w:r>
      <w:r w:rsidR="00192793">
        <w:rPr>
          <w:iCs/>
        </w:rPr>
        <w:t xml:space="preserve">Type II CSI can amount to significantly large reporting payload. For the Type II CSI codebook </w:t>
      </w:r>
      <w:r w:rsidR="00B828ED">
        <w:rPr>
          <w:iCs/>
        </w:rPr>
        <w:t>agreed in [1]</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w:t>
      </w:r>
      <w:r w:rsidR="002E4F09" w:rsidRPr="002E4F09">
        <w:rPr>
          <w:rFonts w:cs="Times New Roman"/>
          <w:lang w:eastAsia="en-US"/>
        </w:rPr>
        <w:t>as it will consume significant UL resources (since phase reporting is per SB)</w:t>
      </w:r>
      <w:r w:rsidR="00192793">
        <w:t xml:space="preserve">. </w:t>
      </w:r>
    </w:p>
    <w:p w14:paraId="79E212F7" w14:textId="319EB42D" w:rsidR="00192793" w:rsidRDefault="00192793" w:rsidP="00192793">
      <w:pPr>
        <w:pStyle w:val="maintext"/>
        <w:ind w:firstLineChars="0" w:firstLine="0"/>
      </w:pPr>
      <w:r>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405732A3" w:rsidR="00195335" w:rsidRDefault="00192793" w:rsidP="00192793">
      <w:r>
        <w:lastRenderedPageBreak/>
        <w:t xml:space="preserve">An example is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rsidRPr="0069105E">
        <w:rPr>
          <w:iCs/>
          <w:lang w:eastAsia="ko-KR"/>
        </w:rPr>
        <w:t>.</w:t>
      </w:r>
      <w:r>
        <w:rPr>
          <w:iCs/>
          <w:lang w:eastAsia="ko-KR"/>
        </w:rPr>
        <w:t xml:space="preserve"> Note 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207.6pt" o:ole="">
            <v:imagedata r:id="rId9" o:title=""/>
          </v:shape>
          <o:OLEObject Type="Embed" ProgID="Visio.Drawing.11" ShapeID="_x0000_i1025" DrawAspect="Content" ObjectID="_1572352498" r:id="rId10"/>
        </w:object>
      </w:r>
    </w:p>
    <w:p w14:paraId="209F6387" w14:textId="61CBBB85" w:rsidR="00192793" w:rsidRDefault="00192793" w:rsidP="00192793">
      <w:pPr>
        <w:jc w:val="center"/>
        <w:rPr>
          <w:b/>
          <w:bCs/>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7330D4">
        <w:rPr>
          <w:b/>
          <w:bCs/>
          <w:noProof/>
        </w:rPr>
        <w:t>1</w:t>
      </w:r>
      <w:r w:rsidRPr="00143E94">
        <w:rPr>
          <w:b/>
          <w:bCs/>
          <w:noProof/>
        </w:rPr>
        <w:fldChar w:fldCharType="end"/>
      </w:r>
      <w:bookmarkEnd w:id="7"/>
      <w:r w:rsidRPr="00143E94">
        <w:rPr>
          <w:b/>
          <w:bCs/>
        </w:rPr>
        <w:t xml:space="preserve">: </w:t>
      </w:r>
      <w:r>
        <w:rPr>
          <w:b/>
          <w:bCs/>
        </w:rPr>
        <w:t xml:space="preserve">Differential CSI </w:t>
      </w:r>
      <w:r w:rsidR="00741556">
        <w:rPr>
          <w:b/>
          <w:bCs/>
        </w:rPr>
        <w:t>reporting</w:t>
      </w:r>
    </w:p>
    <w:p w14:paraId="5A0B243F" w14:textId="77777777" w:rsidR="007432FD" w:rsidRDefault="007432FD" w:rsidP="00192793">
      <w:pPr>
        <w:rPr>
          <w:b/>
          <w:i/>
          <w:iCs/>
        </w:rPr>
      </w:pP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26" type="#_x0000_t75" style="width:485.4pt;height:132.6pt" o:ole="">
            <v:imagedata r:id="rId11" o:title=""/>
          </v:shape>
          <o:OLEObject Type="Embed" ProgID="Visio.Drawing.11" ShapeID="_x0000_i1026" DrawAspect="Content" ObjectID="_1572352499" r:id="rId12"/>
        </w:object>
      </w:r>
    </w:p>
    <w:p w14:paraId="2D6CD91F" w14:textId="77777777" w:rsidR="00192793" w:rsidRPr="007F01D0" w:rsidRDefault="00192793" w:rsidP="00192793">
      <w:pPr>
        <w:pStyle w:val="Caption"/>
        <w:jc w:val="center"/>
        <w:rPr>
          <w:b w:val="0"/>
          <w:i/>
          <w:iCs/>
          <w:sz w:val="22"/>
          <w:u w:val="single"/>
        </w:rPr>
      </w:pPr>
      <w:bookmarkStart w:id="8" w:name="_Ref473231235"/>
      <w:r>
        <w:t xml:space="preserve">Figure </w:t>
      </w:r>
      <w:r>
        <w:fldChar w:fldCharType="begin"/>
      </w:r>
      <w:r>
        <w:instrText xml:space="preserve"> SEQ Figure \* ARABIC </w:instrText>
      </w:r>
      <w:r>
        <w:fldChar w:fldCharType="separate"/>
      </w:r>
      <w:r w:rsidR="007330D4">
        <w:rPr>
          <w:noProof/>
        </w:rPr>
        <w:t>2</w:t>
      </w:r>
      <w:r>
        <w:rPr>
          <w:noProof/>
        </w:rPr>
        <w:fldChar w:fldCharType="end"/>
      </w:r>
      <w:bookmarkEnd w:id="8"/>
      <w:r>
        <w:t xml:space="preserve">: Beam pairs for </w:t>
      </w:r>
      <w:r w:rsidRPr="00816C61">
        <w:rPr>
          <w:i/>
        </w:rPr>
        <w:t>T</w:t>
      </w:r>
      <w:r>
        <w:t xml:space="preserve"> = </w:t>
      </w:r>
      <w:r w:rsidRPr="00816C61">
        <w:rPr>
          <w:i/>
        </w:rPr>
        <w:t>L</w:t>
      </w:r>
      <w:r>
        <w:t>/2 differential CSI reports</w:t>
      </w:r>
    </w:p>
    <w:p w14:paraId="4134652F" w14:textId="2E617043" w:rsidR="00E11222"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xml:space="preserve">. </w:t>
      </w:r>
    </w:p>
    <w:p w14:paraId="36D5A0BC" w14:textId="77777777" w:rsidR="00E11222" w:rsidRPr="00456995" w:rsidRDefault="00677364" w:rsidP="00E11222">
      <w:pPr>
        <w:pStyle w:val="maintext"/>
        <w:numPr>
          <w:ilvl w:val="0"/>
          <w:numId w:val="16"/>
        </w:numPr>
        <w:ind w:firstLineChars="0"/>
        <w:rPr>
          <w:rFonts w:cs="Times New Roman"/>
        </w:rPr>
      </w:pP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oMath>
      <w:r w:rsidR="00E11222">
        <w:rPr>
          <w:b/>
          <w:iCs/>
          <w:lang w:val="en-US"/>
        </w:rPr>
        <w:t xml:space="preserve"> </w:t>
      </w:r>
      <w:r w:rsidR="00E11222" w:rsidRPr="00B866BE">
        <w:rPr>
          <w:iCs/>
          <w:lang w:val="en-US"/>
        </w:rPr>
        <w:t xml:space="preserve">is a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×L </m:t>
        </m:r>
      </m:oMath>
      <w:r w:rsidR="00E11222">
        <w:rPr>
          <w:iCs/>
          <w:lang w:val="en-US"/>
        </w:rPr>
        <w:t xml:space="preserve">basis </w:t>
      </w:r>
      <w:r w:rsidR="00E11222" w:rsidRPr="00B866BE">
        <w:rPr>
          <w:iCs/>
          <w:lang w:val="en-US"/>
        </w:rPr>
        <w:t xml:space="preserve">matrix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r>
          <m:rPr>
            <m:sty m:val="p"/>
          </m:rPr>
          <w:rPr>
            <w:rFonts w:ascii="Cambria Math" w:hAnsi="Cambria Math"/>
          </w:rPr>
          <m:t xml:space="preserve"> </m:t>
        </m:r>
      </m:oMath>
      <w:r w:rsidR="00E11222">
        <w:t xml:space="preserve">common to </w:t>
      </w:r>
      <w:r w:rsidR="00E11222">
        <w:rPr>
          <w:iCs/>
          <w:lang w:val="en-US"/>
        </w:rPr>
        <w:t>both polarizations,</w:t>
      </w:r>
      <w:r w:rsidR="00E11222" w:rsidRPr="00225D24">
        <w:rPr>
          <w:iCs/>
          <w:lang w:val="en-US"/>
        </w:rPr>
        <w:t xml:space="preserve"> </w:t>
      </w:r>
      <w:r w:rsidR="00E11222">
        <w:t>where</w:t>
      </w:r>
    </w:p>
    <w:p w14:paraId="3C8425B0" w14:textId="77777777" w:rsidR="00E11222" w:rsidRPr="00456995" w:rsidRDefault="00677364" w:rsidP="00E11222">
      <w:pPr>
        <w:pStyle w:val="maintext"/>
        <w:numPr>
          <w:ilvl w:val="1"/>
          <w:numId w:val="17"/>
        </w:numPr>
        <w:ind w:firstLineChars="0"/>
        <w:rPr>
          <w:rFonts w:cs="Times New Roman"/>
        </w:rPr>
      </w:pPr>
      <m:oMath>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sub>
        </m:sSub>
      </m:oMath>
      <w:r w:rsidR="00E11222" w:rsidRPr="00B866BE">
        <w:rPr>
          <w:iCs/>
          <w:lang w:val="en-CA"/>
        </w:rPr>
        <w:t xml:space="preserve"> is one of the </w:t>
      </w:r>
      <w:r w:rsidR="00E11222" w:rsidRPr="00B866BE">
        <w:rPr>
          <w:i/>
          <w:iCs/>
          <w:lang w:val="en-CA"/>
        </w:rPr>
        <w:t>L</w:t>
      </w:r>
      <w:r w:rsidR="00E11222" w:rsidRPr="00B866BE">
        <w:rPr>
          <w:iCs/>
          <w:lang w:val="en-CA"/>
        </w:rPr>
        <w:t xml:space="preserve"> </w:t>
      </w:r>
      <w:r w:rsidR="00E11222">
        <w:rPr>
          <w:iCs/>
          <w:lang w:val="en-CA"/>
        </w:rPr>
        <w:t>o</w:t>
      </w:r>
      <w:r w:rsidR="00E11222" w:rsidRPr="00B866BE">
        <w:rPr>
          <w:iCs/>
          <w:lang w:val="en-CA"/>
        </w:rPr>
        <w:t>rthogonal DFT beams</w:t>
      </w:r>
      <w:r w:rsidR="00E11222">
        <w:rPr>
          <w:iCs/>
          <w:lang w:val="en-CA"/>
        </w:rPr>
        <w:t xml:space="preserve"> selected from the selected (</w:t>
      </w:r>
      <w:r w:rsidR="00E11222" w:rsidRPr="001D0DB2">
        <w:rPr>
          <w:i/>
          <w:iCs/>
          <w:lang w:val="en-CA"/>
        </w:rPr>
        <w:t>L</w:t>
      </w:r>
      <w:r w:rsidR="00E11222" w:rsidRPr="001D0DB2">
        <w:rPr>
          <w:iCs/>
          <w:vertAlign w:val="subscript"/>
          <w:lang w:val="en-CA"/>
        </w:rPr>
        <w:t>1</w:t>
      </w:r>
      <w:r w:rsidR="00E11222">
        <w:rPr>
          <w:iCs/>
          <w:lang w:val="en-CA"/>
        </w:rPr>
        <w:t>,</w:t>
      </w:r>
      <w:r w:rsidR="00E11222" w:rsidRPr="001D0DB2">
        <w:rPr>
          <w:i/>
          <w:iCs/>
          <w:lang w:val="en-CA"/>
        </w:rPr>
        <w:t>L</w:t>
      </w:r>
      <w:r w:rsidR="00E11222" w:rsidRPr="001D0DB2">
        <w:rPr>
          <w:iCs/>
          <w:vertAlign w:val="subscript"/>
          <w:lang w:val="en-CA"/>
        </w:rPr>
        <w:t>2</w:t>
      </w:r>
      <w:r w:rsidR="00E11222">
        <w:rPr>
          <w:iCs/>
          <w:lang w:val="en-CA"/>
        </w:rPr>
        <w:t>) basis set,</w:t>
      </w:r>
    </w:p>
    <w:p w14:paraId="1EFEFA50" w14:textId="34A69F2A" w:rsidR="00E11222" w:rsidRPr="00E11222" w:rsidRDefault="00E11222" w:rsidP="00E11222">
      <w:pPr>
        <w:pStyle w:val="ListParagraph"/>
        <w:numPr>
          <w:ilvl w:val="1"/>
          <w:numId w:val="17"/>
        </w:numPr>
        <w:spacing w:after="60"/>
        <w:ind w:leftChars="0"/>
        <w:rPr>
          <w:iCs/>
        </w:rPr>
      </w:pPr>
      <m:oMath>
        <m:r>
          <w:rPr>
            <w:rFonts w:ascii="Cambria Math" w:hAnsi="Cambria Math"/>
          </w:rPr>
          <m:t>{</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e>
        </m:d>
        <m:r>
          <w:rPr>
            <w:rFonts w:ascii="Cambria Math" w:hAnsi="Cambria Math"/>
          </w:rPr>
          <m:t>:i=0,1…,L-1}</m:t>
        </m:r>
      </m:oMath>
      <w:r>
        <w:t xml:space="preserve"> are corresponding indices of </w:t>
      </w:r>
      <w:r w:rsidRPr="00E11222">
        <w:rPr>
          <w:i/>
        </w:rPr>
        <w:t>L</w:t>
      </w:r>
      <w:r>
        <w:t xml:space="preserve"> beams</w:t>
      </w:r>
      <w:r w:rsidRPr="00456995">
        <w:t xml:space="preserve"> </w:t>
      </w:r>
      <w:r>
        <w:t xml:space="preserve">where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oMath>
      <w:r>
        <w:t xml:space="preserve"> is the strongest beam for layer </w:t>
      </w:r>
      <w:r w:rsidRPr="00E11222">
        <w:rPr>
          <w:i/>
        </w:rPr>
        <w:t>l</w:t>
      </w:r>
      <w:r>
        <w:t>.</w:t>
      </w:r>
    </w:p>
    <w:p w14:paraId="043024EC" w14:textId="10FED560" w:rsidR="00192793" w:rsidRDefault="00192793" w:rsidP="00B70625">
      <w:pPr>
        <w:spacing w:after="60"/>
        <w:rPr>
          <w:iCs/>
        </w:rPr>
      </w:pPr>
      <w:r>
        <w:rPr>
          <w:iCs/>
        </w:rPr>
        <w:t xml:space="preserve">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r>
          <w:rPr>
            <w:rFonts w:ascii="Cambria Math" w:hAnsi="Cambria Math"/>
          </w:rPr>
          <m:t>=</m:t>
        </m:r>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Pr>
          <w:iCs/>
        </w:rPr>
        <w:t xml:space="preserve"> for </w:t>
      </w:r>
      <w:r w:rsidRPr="00816C61">
        <w:rPr>
          <w:i/>
          <w:iCs/>
        </w:rPr>
        <w:t>L</w:t>
      </w:r>
      <w:r>
        <w:rPr>
          <w:iCs/>
        </w:rPr>
        <w:t xml:space="preserve"> = 4, 6, and 8.</w:t>
      </w:r>
      <w:r w:rsidR="00B70625">
        <w:rPr>
          <w:iCs/>
        </w:rPr>
        <w:t xml:space="preserve"> </w:t>
      </w:r>
    </w:p>
    <w:p w14:paraId="40E2DB7D" w14:textId="77777777" w:rsidR="007432FD" w:rsidRDefault="007432FD" w:rsidP="00192793">
      <w:pPr>
        <w:rPr>
          <w:b/>
          <w:i/>
          <w:iCs/>
        </w:rPr>
      </w:pPr>
    </w:p>
    <w:p w14:paraId="61FA0FAC" w14:textId="77777777" w:rsidR="00192793" w:rsidRPr="00B70625" w:rsidRDefault="00192793" w:rsidP="00192793">
      <w:pPr>
        <w:rPr>
          <w:b/>
          <w:i/>
          <w:iCs/>
        </w:rPr>
      </w:pPr>
      <w:r w:rsidRPr="00B70625">
        <w:rPr>
          <w:b/>
          <w:i/>
          <w:iCs/>
        </w:rPr>
        <w:t>Configuration and reporting of differential CSI</w:t>
      </w:r>
    </w:p>
    <w:p w14:paraId="51383437" w14:textId="6C3E7C5E"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3436043B"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the following components. </w:t>
      </w:r>
    </w:p>
    <w:p w14:paraId="3893CD73" w14:textId="174D1C6F"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04488F5E"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539DC797"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sidR="005C44B3">
        <w:rPr>
          <w:iCs/>
        </w:rPr>
        <w:t>The</w:t>
      </w:r>
      <w:r>
        <w:rPr>
          <w:iCs/>
        </w:rPr>
        <w:t xml:space="preserve"> </w:t>
      </w:r>
      <w:r w:rsidRPr="00F333ED">
        <w:rPr>
          <w:i/>
          <w:iCs/>
        </w:rPr>
        <w:t>T</w:t>
      </w:r>
      <w:r>
        <w:rPr>
          <w:iCs/>
        </w:rPr>
        <w:t xml:space="preserve"> WB amplitude components are </w:t>
      </w:r>
      <w:r w:rsidR="005C44B3">
        <w:rPr>
          <w:iCs/>
        </w:rPr>
        <w:t xml:space="preserve">also </w:t>
      </w:r>
      <w:r>
        <w:rPr>
          <w:iCs/>
        </w:rPr>
        <w:t xml:space="preserve">reported in their respective reporting instances. </w:t>
      </w:r>
    </w:p>
    <w:p w14:paraId="4342C617" w14:textId="513C269F" w:rsidR="00262D9E" w:rsidRDefault="007432FD" w:rsidP="00195335">
      <w:pPr>
        <w:rPr>
          <w:i/>
          <w:iCs/>
          <w:lang w:eastAsia="ko-KR"/>
        </w:rPr>
      </w:pPr>
      <w:r>
        <w:rPr>
          <w:b/>
          <w:i/>
          <w:iCs/>
          <w:lang w:eastAsia="ko-KR"/>
        </w:rPr>
        <w:t>Proposal</w:t>
      </w:r>
      <w:r w:rsidR="00195335" w:rsidRPr="009571B3">
        <w:rPr>
          <w:b/>
          <w:i/>
          <w:iCs/>
          <w:lang w:eastAsia="ko-KR"/>
        </w:rPr>
        <w:t>:</w:t>
      </w:r>
      <w:r w:rsidR="00195335">
        <w:rPr>
          <w:b/>
          <w:i/>
          <w:iCs/>
          <w:lang w:eastAsia="ko-KR"/>
        </w:rPr>
        <w:t xml:space="preserve"> </w:t>
      </w:r>
      <w:r w:rsidR="00195335" w:rsidRPr="009571B3">
        <w:rPr>
          <w:i/>
          <w:iCs/>
          <w:lang w:eastAsia="ko-KR"/>
        </w:rPr>
        <w:t xml:space="preserve">To reduce </w:t>
      </w:r>
      <w:r w:rsidR="00195335">
        <w:rPr>
          <w:i/>
          <w:iCs/>
          <w:lang w:eastAsia="ko-KR"/>
        </w:rPr>
        <w:t>Type II CSI reporting payload</w:t>
      </w:r>
      <w:r w:rsidR="00195335" w:rsidRPr="009571B3">
        <w:rPr>
          <w:i/>
          <w:iCs/>
          <w:lang w:eastAsia="ko-KR"/>
        </w:rPr>
        <w:t>,</w:t>
      </w:r>
      <w:r w:rsidR="00262D9E">
        <w:rPr>
          <w:i/>
          <w:iCs/>
          <w:lang w:eastAsia="ko-KR"/>
        </w:rPr>
        <w:t xml:space="preserve"> a differential CSI reporting mechanism is supported wherein </w:t>
      </w:r>
      <w:r w:rsidR="00195335">
        <w:rPr>
          <w:i/>
          <w:iCs/>
          <w:lang w:eastAsia="ko-KR"/>
        </w:rPr>
        <w:t xml:space="preserve"> </w:t>
      </w:r>
    </w:p>
    <w:p w14:paraId="01B0F4E9" w14:textId="626D2BC2"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w:t>
      </w:r>
      <w:r w:rsidR="0080301C">
        <w:rPr>
          <w:i/>
          <w:iCs/>
          <w:lang w:eastAsia="ko-KR"/>
        </w:rPr>
        <w:t>s</w:t>
      </w:r>
      <w:r w:rsidR="00195335" w:rsidRPr="00262D9E">
        <w:rPr>
          <w:i/>
          <w:iCs/>
          <w:lang w:eastAsia="ko-KR"/>
        </w:rPr>
        <w:t xml:space="preserve">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w:t>
      </w:r>
      <w:r w:rsidR="007432FD">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r w:rsidR="007432FD">
        <w:rPr>
          <w:i/>
          <w:iCs/>
          <w:lang w:eastAsia="ko-KR"/>
        </w:rPr>
        <w:t xml:space="preserve">(cf. </w:t>
      </w:r>
      <w:r w:rsidR="007432FD" w:rsidRPr="00E06187">
        <w:rPr>
          <w:i/>
          <w:iCs/>
          <w:lang w:eastAsia="ko-KR"/>
        </w:rPr>
        <w:fldChar w:fldCharType="begin"/>
      </w:r>
      <w:r w:rsidR="007432FD" w:rsidRPr="00E06187">
        <w:rPr>
          <w:i/>
          <w:iCs/>
          <w:lang w:eastAsia="ko-KR"/>
        </w:rPr>
        <w:instrText xml:space="preserve"> REF _Ref473231235 \h  \* MERGEFORMAT </w:instrText>
      </w:r>
      <w:r w:rsidR="007432FD" w:rsidRPr="00E06187">
        <w:rPr>
          <w:i/>
          <w:iCs/>
          <w:lang w:eastAsia="ko-KR"/>
        </w:rPr>
      </w:r>
      <w:r w:rsidR="007432FD" w:rsidRPr="00E06187">
        <w:rPr>
          <w:i/>
          <w:iCs/>
          <w:lang w:eastAsia="ko-KR"/>
        </w:rPr>
        <w:fldChar w:fldCharType="separate"/>
      </w:r>
      <w:r w:rsidR="007330D4" w:rsidRPr="007330D4">
        <w:rPr>
          <w:i/>
        </w:rPr>
        <w:t xml:space="preserve">Figure </w:t>
      </w:r>
      <w:r w:rsidR="007330D4" w:rsidRPr="007330D4">
        <w:rPr>
          <w:i/>
          <w:noProof/>
        </w:rPr>
        <w:t>2</w:t>
      </w:r>
      <w:r w:rsidR="007432FD" w:rsidRPr="00E06187">
        <w:rPr>
          <w:i/>
          <w:iCs/>
          <w:lang w:eastAsia="ko-KR"/>
        </w:rPr>
        <w:fldChar w:fldCharType="end"/>
      </w:r>
      <w:r w:rsidR="007432FD" w:rsidRPr="00E06187">
        <w:rPr>
          <w:i/>
          <w:iCs/>
          <w:lang w:eastAsia="ko-KR"/>
        </w:rPr>
        <w:t>).</w:t>
      </w:r>
    </w:p>
    <w:p w14:paraId="5EC604DE" w14:textId="2CC1D30A"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w:t>
      </w:r>
      <w:r w:rsidR="00E30056">
        <w:rPr>
          <w:i/>
          <w:iCs/>
          <w:lang w:eastAsia="ko-KR"/>
        </w:rPr>
        <w:t xml:space="preserve">SB </w:t>
      </w:r>
      <w:r w:rsidRPr="00262D9E">
        <w:rPr>
          <w:i/>
          <w:iCs/>
          <w:lang w:eastAsia="ko-KR"/>
        </w:rPr>
        <w:t xml:space="preserve">phase and </w:t>
      </w:r>
      <w:r w:rsidR="00E30056">
        <w:rPr>
          <w:i/>
          <w:iCs/>
          <w:lang w:eastAsia="ko-KR"/>
        </w:rPr>
        <w:t xml:space="preserve">WB or WB+SB </w:t>
      </w:r>
      <w:r w:rsidRPr="00262D9E">
        <w:rPr>
          <w:i/>
          <w:iCs/>
          <w:lang w:eastAsia="ko-KR"/>
        </w:rPr>
        <w:t>amplitude</w:t>
      </w:r>
      <w:r w:rsidR="0045421C">
        <w:rPr>
          <w:i/>
          <w:iCs/>
          <w:lang w:eastAsia="ko-KR"/>
        </w:rPr>
        <w:t xml:space="preserve"> of coefficients corresponding to 2 beams</w:t>
      </w:r>
      <w:r w:rsidR="007432FD">
        <w:rPr>
          <w:i/>
          <w:iCs/>
          <w:lang w:eastAsia="ko-KR"/>
        </w:rPr>
        <w:t xml:space="preserve"> in each of T CSI reports</w:t>
      </w:r>
      <w:r w:rsidR="002F11DE">
        <w:rPr>
          <w:i/>
          <w:iCs/>
          <w:lang w:eastAsia="ko-KR"/>
        </w:rPr>
        <w:t>.</w:t>
      </w:r>
    </w:p>
    <w:p w14:paraId="5C48EF12" w14:textId="60C3956E" w:rsidR="00C41136" w:rsidRDefault="00C41136" w:rsidP="002958FD">
      <w:pPr>
        <w:pStyle w:val="Heading1"/>
      </w:pPr>
      <w:r>
        <w:t>Simulation results</w:t>
      </w:r>
    </w:p>
    <w:p w14:paraId="7195DE15" w14:textId="77777777" w:rsidR="00CD21B7" w:rsidRDefault="00FA6ECB" w:rsidP="00FA6ECB">
      <w:pPr>
        <w:ind w:right="14"/>
      </w:pPr>
      <w:r>
        <w:t xml:space="preserve">For performance evaluation of the proposed </w:t>
      </w:r>
      <w:r w:rsidR="00CD21B7">
        <w:t xml:space="preserve">differential </w:t>
      </w:r>
      <w:r>
        <w:t xml:space="preserve">Type II CSI </w:t>
      </w:r>
      <w:r w:rsidR="00CD21B7">
        <w:t>reporting</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w:t>
      </w:r>
      <w:r w:rsidR="00CD21B7">
        <w:t xml:space="preserve"> The results are provided for 16 and 32 antenna ports </w:t>
      </w:r>
      <w:r w:rsidR="00CD21B7" w:rsidRPr="004E5326">
        <w:t>with</w:t>
      </w:r>
      <w:r w:rsidR="00CD21B7" w:rsidRPr="004E5326">
        <w:rPr>
          <w:rFonts w:hint="eastAsia"/>
        </w:rPr>
        <w:t xml:space="preserve"> </w:t>
      </w:r>
      <w:r w:rsidR="00CD21B7" w:rsidRPr="004E5326">
        <w:t>(</w:t>
      </w:r>
      <w:r w:rsidR="00CD21B7" w:rsidRPr="00BE3AF2">
        <w:rPr>
          <w:i/>
        </w:rPr>
        <w:t>N</w:t>
      </w:r>
      <w:r w:rsidR="00CD21B7" w:rsidRPr="00BE3AF2">
        <w:rPr>
          <w:vertAlign w:val="subscript"/>
        </w:rPr>
        <w:t>1</w:t>
      </w:r>
      <w:r w:rsidR="00CD21B7" w:rsidRPr="004E5326">
        <w:t>,</w:t>
      </w:r>
      <w:r w:rsidR="00CD21B7">
        <w:t xml:space="preserve"> </w:t>
      </w:r>
      <w:r w:rsidR="00CD21B7" w:rsidRPr="00BE3AF2">
        <w:rPr>
          <w:i/>
        </w:rPr>
        <w:t>N</w:t>
      </w:r>
      <w:r w:rsidR="00CD21B7" w:rsidRPr="00BE3AF2">
        <w:rPr>
          <w:vertAlign w:val="subscript"/>
        </w:rPr>
        <w:t>2</w:t>
      </w:r>
      <w:r w:rsidR="00CD21B7" w:rsidRPr="004E5326">
        <w:rPr>
          <w:rFonts w:hint="eastAsia"/>
        </w:rPr>
        <w:t>) = (</w:t>
      </w:r>
      <w:r w:rsidR="00CD21B7">
        <w:t>4, 2</w:t>
      </w:r>
      <w:r w:rsidR="00CD21B7" w:rsidRPr="004E5326">
        <w:t>)</w:t>
      </w:r>
      <w:r w:rsidR="00CD21B7">
        <w:t xml:space="preserve"> and (4, 4), respectively, where</w:t>
      </w:r>
      <w:r w:rsidR="00CD21B7" w:rsidRPr="004E5326">
        <w:t xml:space="preserve"> we assume that the first dimension is horizontal and the second dimension is vertical</w:t>
      </w:r>
      <w:r w:rsidR="00CD21B7">
        <w:t xml:space="preserve">. </w:t>
      </w:r>
      <w:r>
        <w:t xml:space="preserve">The relevant simulation parameters are enlisted in </w:t>
      </w:r>
      <w:r>
        <w:fldChar w:fldCharType="begin"/>
      </w:r>
      <w:r>
        <w:instrText xml:space="preserve"> REF _Ref458526226 \h </w:instrText>
      </w:r>
      <w:r>
        <w:fldChar w:fldCharType="separate"/>
      </w:r>
      <w:r w:rsidR="007330D4">
        <w:t xml:space="preserve">Table </w:t>
      </w:r>
      <w:r w:rsidR="007330D4">
        <w:rPr>
          <w:noProof/>
        </w:rPr>
        <w:t>3</w:t>
      </w:r>
      <w:r>
        <w:fldChar w:fldCharType="end"/>
      </w:r>
      <w:r>
        <w:t xml:space="preserve">. </w:t>
      </w:r>
    </w:p>
    <w:p w14:paraId="0DCDC18C" w14:textId="77777777" w:rsidR="00CD21B7" w:rsidRDefault="00CD21B7" w:rsidP="00CD21B7">
      <w:pPr>
        <w:spacing w:after="60"/>
        <w:ind w:right="14"/>
      </w:pPr>
      <w:r>
        <w:t>For comparison, the Rel. 14 advanced CSI codebook is considered as reference, and ideal CSI in which dominant eigenvectors are known at gNB and Type II CSI codebook with unquantized combining coefficients (unquantized amplitude and phase) are considered as performance upper bounds.</w:t>
      </w:r>
    </w:p>
    <w:p w14:paraId="59E015E7" w14:textId="6C0BD51E" w:rsidR="00252C0C" w:rsidRDefault="00BD0F9B" w:rsidP="00252C0C">
      <w:pPr>
        <w:spacing w:after="60"/>
        <w:ind w:right="14"/>
      </w:pPr>
      <w:r>
        <w:t>T</w:t>
      </w:r>
      <w:r w:rsidR="00252C0C">
        <w:t xml:space="preserve">he following two Type II CSI reporting </w:t>
      </w:r>
      <w:r w:rsidR="00066CD2">
        <w:t>mechanisms</w:t>
      </w:r>
      <w:r w:rsidR="00252C0C">
        <w:t xml:space="preserve"> are compared:</w:t>
      </w:r>
    </w:p>
    <w:p w14:paraId="04B5165D" w14:textId="5B48960C" w:rsidR="00252C0C" w:rsidRDefault="00252C0C" w:rsidP="00CD21B7">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w:t>
      </w:r>
      <w:r w:rsidR="00CD21B7">
        <w:rPr>
          <w:lang w:eastAsia="ko-KR"/>
        </w:rPr>
        <w:t>.</w:t>
      </w:r>
    </w:p>
    <w:p w14:paraId="3227A04A" w14:textId="0D1926A3"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CD21B7">
        <w:t>cf. Section 2</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7330D4">
        <w:t xml:space="preserve">Table </w:t>
      </w:r>
      <w:r w:rsidR="007330D4">
        <w:rPr>
          <w:noProof/>
        </w:rPr>
        <w:t>2</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9" w:name="_Ref474048226"/>
      <w:r>
        <w:t xml:space="preserve">Table </w:t>
      </w:r>
      <w:r>
        <w:fldChar w:fldCharType="begin"/>
      </w:r>
      <w:r>
        <w:instrText xml:space="preserve"> SEQ Table \* ARABIC </w:instrText>
      </w:r>
      <w:r>
        <w:fldChar w:fldCharType="separate"/>
      </w:r>
      <w:r w:rsidR="007330D4">
        <w:rPr>
          <w:noProof/>
        </w:rPr>
        <w:t>2</w:t>
      </w:r>
      <w:r>
        <w:fldChar w:fldCharType="end"/>
      </w:r>
      <w:bookmarkEnd w:id="9"/>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7E9B79E7" w14:textId="77777777" w:rsidR="00432677" w:rsidRDefault="00432677" w:rsidP="00432677">
      <w:pPr>
        <w:rPr>
          <w:lang w:eastAsia="ko-KR"/>
        </w:rPr>
      </w:pPr>
    </w:p>
    <w:p w14:paraId="45FCAF19" w14:textId="77777777" w:rsidR="00432677" w:rsidRDefault="00432677" w:rsidP="00432677">
      <w:r>
        <w:rPr>
          <w:lang w:eastAsia="ko-KR"/>
        </w:rPr>
        <w:t xml:space="preserve">The performance comparison for the abovementioned schemes are shown in </w:t>
      </w:r>
      <w:r>
        <w:rPr>
          <w:lang w:eastAsia="ko-KR"/>
        </w:rPr>
        <w:fldChar w:fldCharType="begin"/>
      </w:r>
      <w:r>
        <w:rPr>
          <w:lang w:eastAsia="ko-KR"/>
        </w:rPr>
        <w:instrText xml:space="preserve"> REF _Ref474047252 \h </w:instrText>
      </w:r>
      <w:r>
        <w:rPr>
          <w:lang w:eastAsia="ko-KR"/>
        </w:rPr>
      </w:r>
      <w:r>
        <w:rPr>
          <w:lang w:eastAsia="ko-KR"/>
        </w:rPr>
        <w:fldChar w:fldCharType="separate"/>
      </w:r>
      <w:r w:rsidR="007330D4">
        <w:t xml:space="preserve">Figure </w:t>
      </w:r>
      <w:r w:rsidR="007330D4">
        <w:rPr>
          <w:noProof/>
        </w:rPr>
        <w:t>3</w:t>
      </w:r>
      <w:r>
        <w:rPr>
          <w:lang w:eastAsia="ko-KR"/>
        </w:rPr>
        <w:fldChar w:fldCharType="end"/>
      </w:r>
      <w:r>
        <w:rPr>
          <w:lang w:eastAsia="ko-KR"/>
        </w:rPr>
        <w:t xml:space="preserve"> – </w:t>
      </w:r>
      <w:r>
        <w:rPr>
          <w:lang w:eastAsia="ko-KR"/>
        </w:rPr>
        <w:fldChar w:fldCharType="begin"/>
      </w:r>
      <w:r>
        <w:rPr>
          <w:lang w:eastAsia="ko-KR"/>
        </w:rPr>
        <w:instrText xml:space="preserve"> REF _Ref474047255 \h </w:instrText>
      </w:r>
      <w:r>
        <w:rPr>
          <w:lang w:eastAsia="ko-KR"/>
        </w:rPr>
      </w:r>
      <w:r>
        <w:rPr>
          <w:lang w:eastAsia="ko-KR"/>
        </w:rPr>
        <w:fldChar w:fldCharType="separate"/>
      </w:r>
      <w:r w:rsidR="007330D4">
        <w:t xml:space="preserve">Figure </w:t>
      </w:r>
      <w:r w:rsidR="007330D4">
        <w:rPr>
          <w:noProof/>
        </w:rPr>
        <w:t>6</w:t>
      </w:r>
      <w:r>
        <w:rPr>
          <w:lang w:eastAsia="ko-KR"/>
        </w:rPr>
        <w:fldChar w:fldCharType="end"/>
      </w:r>
      <w:r>
        <w:rPr>
          <w:lang w:eastAsia="ko-KR"/>
        </w:rPr>
        <w:t xml:space="preserve">. </w:t>
      </w:r>
      <w:r>
        <w:t xml:space="preserve">The performance loss of differential CSI reporting when compared with one-shot reporting is shown in </w:t>
      </w:r>
      <w:r>
        <w:fldChar w:fldCharType="begin"/>
      </w:r>
      <w:r>
        <w:instrText xml:space="preserve"> REF _Ref474014803 \h </w:instrText>
      </w:r>
      <w:r>
        <w:fldChar w:fldCharType="separate"/>
      </w:r>
      <w:r w:rsidR="007330D4">
        <w:t xml:space="preserve">Figure </w:t>
      </w:r>
      <w:r w:rsidR="007330D4">
        <w:rPr>
          <w:noProof/>
        </w:rPr>
        <w:t>7</w:t>
      </w:r>
      <w:r>
        <w:fldChar w:fldCharType="end"/>
      </w:r>
      <w:r>
        <w:t xml:space="preserve"> and </w:t>
      </w:r>
      <w:r>
        <w:fldChar w:fldCharType="begin"/>
      </w:r>
      <w:r>
        <w:instrText xml:space="preserve"> REF _Ref474048518 \h </w:instrText>
      </w:r>
      <w:r>
        <w:fldChar w:fldCharType="separate"/>
      </w:r>
      <w:r w:rsidR="007330D4">
        <w:t xml:space="preserve">Figure </w:t>
      </w:r>
      <w:r w:rsidR="007330D4">
        <w:rPr>
          <w:noProof/>
        </w:rPr>
        <w:t>8</w:t>
      </w:r>
      <w:r>
        <w:fldChar w:fldCharType="end"/>
      </w:r>
      <w:r>
        <w:t>. We make observe the following.</w:t>
      </w:r>
    </w:p>
    <w:p w14:paraId="10B612DB" w14:textId="75AB0D92" w:rsidR="00432677" w:rsidRDefault="00432677" w:rsidP="00432677">
      <w:pPr>
        <w:rPr>
          <w:i/>
          <w:lang w:eastAsia="ko-KR"/>
        </w:rPr>
      </w:pPr>
      <w:r w:rsidRPr="003E2B4B">
        <w:rPr>
          <w:b/>
          <w:i/>
          <w:lang w:eastAsia="ko-KR"/>
        </w:rPr>
        <w:t>Observation</w:t>
      </w:r>
      <w:r w:rsidRPr="003E2B4B">
        <w:rPr>
          <w:i/>
          <w:lang w:eastAsia="ko-KR"/>
        </w:rPr>
        <w:t>:</w:t>
      </w:r>
      <w:r>
        <w:rPr>
          <w:i/>
          <w:lang w:eastAsia="ko-KR"/>
        </w:rPr>
        <w:t xml:space="preserve"> </w:t>
      </w:r>
    </w:p>
    <w:p w14:paraId="33FE0DB0" w14:textId="374574B8" w:rsidR="00432677" w:rsidRPr="00CE318C" w:rsidRDefault="00432677" w:rsidP="00432677">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345FE045" w14:textId="6D0C4B4F" w:rsidR="00432677" w:rsidRPr="00CE318C" w:rsidRDefault="00432677" w:rsidP="00432677">
      <w:pPr>
        <w:pStyle w:val="ListParagraph"/>
        <w:numPr>
          <w:ilvl w:val="0"/>
          <w:numId w:val="42"/>
        </w:numPr>
        <w:ind w:leftChars="0"/>
        <w:rPr>
          <w:i/>
        </w:rPr>
      </w:pPr>
      <w:r w:rsidRPr="00CE318C">
        <w:rPr>
          <w:i/>
        </w:rPr>
        <w:t>When compared with one-shot reporting, differential CSI reporting incurs less than 6% and 8% losses in avg. and 5% UPT</w:t>
      </w:r>
      <w:r w:rsidR="007330D4">
        <w:rPr>
          <w:i/>
        </w:rPr>
        <w:t xml:space="preserve"> respectively</w:t>
      </w:r>
      <w:r w:rsidRPr="00CE318C">
        <w:rPr>
          <w:i/>
        </w:rPr>
        <w:t xml:space="preserve">. This loss is small considering the reduction in W2 reporting payload. </w:t>
      </w:r>
    </w:p>
    <w:p w14:paraId="5D2B8DE8" w14:textId="77777777" w:rsidR="00432677" w:rsidRDefault="00432677" w:rsidP="00432677">
      <w:pPr>
        <w:keepNext/>
        <w:jc w:val="center"/>
      </w:pPr>
      <w:r>
        <w:rPr>
          <w:noProof/>
          <w:lang w:val="en-US"/>
        </w:rPr>
        <w:drawing>
          <wp:inline distT="0" distB="0" distL="0" distR="0" wp14:anchorId="761C2EC3" wp14:editId="1E3D2367">
            <wp:extent cx="54483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EFEB20" w14:textId="77777777" w:rsidR="00432677" w:rsidRDefault="00432677" w:rsidP="00432677">
      <w:pPr>
        <w:pStyle w:val="Caption"/>
        <w:jc w:val="center"/>
      </w:pPr>
      <w:bookmarkStart w:id="10" w:name="_Ref474047252"/>
      <w:r>
        <w:t xml:space="preserve">Figure </w:t>
      </w:r>
      <w:r>
        <w:fldChar w:fldCharType="begin"/>
      </w:r>
      <w:r>
        <w:instrText xml:space="preserve"> SEQ Figure \* ARABIC </w:instrText>
      </w:r>
      <w:r>
        <w:fldChar w:fldCharType="separate"/>
      </w:r>
      <w:r w:rsidR="007330D4">
        <w:rPr>
          <w:noProof/>
        </w:rPr>
        <w:t>3</w:t>
      </w:r>
      <w:r>
        <w:fldChar w:fldCharType="end"/>
      </w:r>
      <w:bookmarkEnd w:id="10"/>
      <w:r>
        <w:t xml:space="preserve">: Performance comparison, 16 ports, </w:t>
      </w:r>
      <w:r w:rsidRPr="002921A8">
        <w:rPr>
          <w:i/>
        </w:rPr>
        <w:t>L</w:t>
      </w:r>
      <w:r>
        <w:t xml:space="preserve"> = 4 beams</w:t>
      </w:r>
    </w:p>
    <w:p w14:paraId="111C0F68" w14:textId="77777777" w:rsidR="00432677" w:rsidRDefault="00432677" w:rsidP="00432677">
      <w:pPr>
        <w:keepNext/>
        <w:jc w:val="center"/>
      </w:pPr>
      <w:r>
        <w:rPr>
          <w:noProof/>
          <w:lang w:val="en-US"/>
        </w:rPr>
        <w:lastRenderedPageBreak/>
        <w:drawing>
          <wp:inline distT="0" distB="0" distL="0" distR="0" wp14:anchorId="1802E0FD" wp14:editId="58E2066D">
            <wp:extent cx="54483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7C818" w14:textId="77777777" w:rsidR="00432677" w:rsidRDefault="00432677" w:rsidP="00432677">
      <w:pPr>
        <w:pStyle w:val="Caption"/>
        <w:jc w:val="center"/>
        <w:rPr>
          <w:lang w:eastAsia="ko-KR"/>
        </w:rPr>
      </w:pPr>
      <w:r>
        <w:t xml:space="preserve">Figure </w:t>
      </w:r>
      <w:r>
        <w:fldChar w:fldCharType="begin"/>
      </w:r>
      <w:r>
        <w:instrText xml:space="preserve"> SEQ Figure \* ARABIC </w:instrText>
      </w:r>
      <w:r>
        <w:fldChar w:fldCharType="separate"/>
      </w:r>
      <w:r w:rsidR="007330D4">
        <w:rPr>
          <w:noProof/>
        </w:rPr>
        <w:t>4</w:t>
      </w:r>
      <w:r>
        <w:fldChar w:fldCharType="end"/>
      </w:r>
      <w:r>
        <w:t xml:space="preserve">: Performance comparison, 16 ports, </w:t>
      </w:r>
      <w:r w:rsidRPr="002921A8">
        <w:rPr>
          <w:i/>
        </w:rPr>
        <w:t>L</w:t>
      </w:r>
      <w:r>
        <w:t xml:space="preserve"> = 8 beams</w:t>
      </w:r>
    </w:p>
    <w:p w14:paraId="00142D38" w14:textId="77777777" w:rsidR="00432677" w:rsidRDefault="00432677" w:rsidP="00432677">
      <w:pPr>
        <w:keepNext/>
        <w:jc w:val="center"/>
      </w:pPr>
      <w:r>
        <w:rPr>
          <w:noProof/>
          <w:lang w:val="en-US"/>
        </w:rPr>
        <w:drawing>
          <wp:inline distT="0" distB="0" distL="0" distR="0" wp14:anchorId="1D2605D5" wp14:editId="78D41F9A">
            <wp:extent cx="54483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7716C" w14:textId="77777777" w:rsidR="00432677" w:rsidRDefault="00432677" w:rsidP="00432677">
      <w:pPr>
        <w:pStyle w:val="Caption"/>
        <w:jc w:val="center"/>
      </w:pPr>
      <w:r>
        <w:t xml:space="preserve">Figure </w:t>
      </w:r>
      <w:r>
        <w:fldChar w:fldCharType="begin"/>
      </w:r>
      <w:r>
        <w:instrText xml:space="preserve"> SEQ Figure \* ARABIC </w:instrText>
      </w:r>
      <w:r>
        <w:fldChar w:fldCharType="separate"/>
      </w:r>
      <w:r w:rsidR="007330D4">
        <w:rPr>
          <w:noProof/>
        </w:rPr>
        <w:t>5</w:t>
      </w:r>
      <w:r>
        <w:fldChar w:fldCharType="end"/>
      </w:r>
      <w:r>
        <w:t xml:space="preserve">: Performance comparison, 32 ports, </w:t>
      </w:r>
      <w:r w:rsidRPr="002921A8">
        <w:rPr>
          <w:i/>
        </w:rPr>
        <w:t>L</w:t>
      </w:r>
      <w:r>
        <w:t xml:space="preserve"> = 4 beams</w:t>
      </w:r>
    </w:p>
    <w:p w14:paraId="1B66F8EE" w14:textId="77777777" w:rsidR="00432677" w:rsidRDefault="00432677" w:rsidP="00432677">
      <w:pPr>
        <w:keepNext/>
        <w:jc w:val="center"/>
      </w:pPr>
      <w:r>
        <w:rPr>
          <w:noProof/>
          <w:lang w:val="en-US"/>
        </w:rPr>
        <w:lastRenderedPageBreak/>
        <w:drawing>
          <wp:inline distT="0" distB="0" distL="0" distR="0" wp14:anchorId="4BDD39A6" wp14:editId="00A728D8">
            <wp:extent cx="54483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88885" w14:textId="77777777" w:rsidR="00432677" w:rsidRDefault="00432677" w:rsidP="00432677">
      <w:pPr>
        <w:pStyle w:val="Caption"/>
        <w:jc w:val="center"/>
        <w:rPr>
          <w:lang w:eastAsia="ko-KR"/>
        </w:rPr>
      </w:pPr>
      <w:bookmarkStart w:id="11" w:name="_Ref474047255"/>
      <w:r>
        <w:t xml:space="preserve">Figure </w:t>
      </w:r>
      <w:r>
        <w:fldChar w:fldCharType="begin"/>
      </w:r>
      <w:r>
        <w:instrText xml:space="preserve"> SEQ Figure \* ARABIC </w:instrText>
      </w:r>
      <w:r>
        <w:fldChar w:fldCharType="separate"/>
      </w:r>
      <w:r w:rsidR="007330D4">
        <w:rPr>
          <w:noProof/>
        </w:rPr>
        <w:t>6</w:t>
      </w:r>
      <w:r>
        <w:fldChar w:fldCharType="end"/>
      </w:r>
      <w:bookmarkEnd w:id="11"/>
      <w:r>
        <w:t xml:space="preserve">: Performance comparison, 32 ports, </w:t>
      </w:r>
      <w:r w:rsidRPr="002921A8">
        <w:rPr>
          <w:i/>
        </w:rPr>
        <w:t>L</w:t>
      </w:r>
      <w:r>
        <w:t xml:space="preserve"> = 8 beams</w:t>
      </w:r>
    </w:p>
    <w:p w14:paraId="3D4A29C9" w14:textId="77777777" w:rsidR="00432677" w:rsidRDefault="00432677" w:rsidP="00432677">
      <w:pPr>
        <w:keepNext/>
        <w:jc w:val="center"/>
        <w:sectPr w:rsidR="00432677" w:rsidSect="00872417">
          <w:headerReference w:type="default" r:id="rId17"/>
          <w:footnotePr>
            <w:numRestart w:val="eachSect"/>
          </w:footnotePr>
          <w:type w:val="continuous"/>
          <w:pgSz w:w="11907" w:h="16840" w:code="9"/>
          <w:pgMar w:top="1418" w:right="1134" w:bottom="1134" w:left="1134" w:header="680" w:footer="567" w:gutter="0"/>
          <w:cols w:space="720"/>
        </w:sectPr>
      </w:pPr>
    </w:p>
    <w:p w14:paraId="6131EB32" w14:textId="77777777" w:rsidR="00432677" w:rsidRDefault="00432677" w:rsidP="00432677">
      <w:pPr>
        <w:keepNext/>
        <w:jc w:val="center"/>
      </w:pPr>
      <w:r>
        <w:rPr>
          <w:noProof/>
          <w:lang w:val="en-US"/>
        </w:rPr>
        <w:drawing>
          <wp:inline distT="0" distB="0" distL="0" distR="0" wp14:anchorId="7D96BFAF" wp14:editId="2D19DEE1">
            <wp:extent cx="2825750" cy="2990850"/>
            <wp:effectExtent l="0" t="0" r="1270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8BB93" w14:textId="3CFA6D54" w:rsidR="00432677" w:rsidRDefault="00432677" w:rsidP="00432677">
      <w:pPr>
        <w:pStyle w:val="Caption"/>
        <w:jc w:val="center"/>
      </w:pPr>
      <w:bookmarkStart w:id="12" w:name="_Ref474014803"/>
      <w:r>
        <w:t xml:space="preserve">Figure </w:t>
      </w:r>
      <w:r>
        <w:fldChar w:fldCharType="begin"/>
      </w:r>
      <w:r>
        <w:instrText xml:space="preserve"> SEQ Figure \* ARABIC </w:instrText>
      </w:r>
      <w:r>
        <w:fldChar w:fldCharType="separate"/>
      </w:r>
      <w:r w:rsidR="007330D4">
        <w:rPr>
          <w:noProof/>
        </w:rPr>
        <w:t>7</w:t>
      </w:r>
      <w:r>
        <w:fldChar w:fldCharType="end"/>
      </w:r>
      <w:bookmarkEnd w:id="12"/>
      <w:r>
        <w:t xml:space="preserve">: Performance </w:t>
      </w:r>
      <w:r w:rsidR="008910FA">
        <w:t>of differential</w:t>
      </w:r>
      <w:r>
        <w:t xml:space="preserve"> </w:t>
      </w:r>
      <w:r w:rsidR="008910FA">
        <w:t xml:space="preserve">over one-shot reporting </w:t>
      </w:r>
      <w:r>
        <w:t>for 16 ports</w:t>
      </w:r>
    </w:p>
    <w:p w14:paraId="76E0CB25" w14:textId="77777777" w:rsidR="00432677" w:rsidRDefault="00432677" w:rsidP="00432677">
      <w:pPr>
        <w:keepNext/>
        <w:jc w:val="center"/>
      </w:pPr>
      <w:r>
        <w:rPr>
          <w:noProof/>
          <w:lang w:val="en-US"/>
        </w:rPr>
        <w:drawing>
          <wp:inline distT="0" distB="0" distL="0" distR="0" wp14:anchorId="343C249D" wp14:editId="5488387A">
            <wp:extent cx="2844800" cy="2990850"/>
            <wp:effectExtent l="0" t="0" r="1270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DE34FE" w14:textId="4506DBE9" w:rsidR="00432677" w:rsidRDefault="00432677" w:rsidP="00432677">
      <w:pPr>
        <w:pStyle w:val="Caption"/>
        <w:jc w:val="center"/>
      </w:pPr>
      <w:bookmarkStart w:id="13" w:name="_Ref474048518"/>
      <w:r>
        <w:t xml:space="preserve">Figure </w:t>
      </w:r>
      <w:r>
        <w:fldChar w:fldCharType="begin"/>
      </w:r>
      <w:r>
        <w:instrText xml:space="preserve"> SEQ Figure \* ARABIC </w:instrText>
      </w:r>
      <w:r>
        <w:fldChar w:fldCharType="separate"/>
      </w:r>
      <w:r w:rsidR="007330D4">
        <w:rPr>
          <w:noProof/>
        </w:rPr>
        <w:t>8</w:t>
      </w:r>
      <w:r>
        <w:fldChar w:fldCharType="end"/>
      </w:r>
      <w:bookmarkEnd w:id="13"/>
      <w:r>
        <w:t xml:space="preserve">: </w:t>
      </w:r>
      <w:r w:rsidR="008910FA">
        <w:t>Performance of differential over one-shot reporting</w:t>
      </w:r>
      <w:r>
        <w:t xml:space="preserve"> for 32 ports</w:t>
      </w:r>
    </w:p>
    <w:p w14:paraId="6FA3B323" w14:textId="77777777" w:rsidR="00432677" w:rsidRDefault="00432677" w:rsidP="00432677">
      <w:pPr>
        <w:rPr>
          <w:lang w:eastAsia="ko-KR"/>
        </w:rPr>
        <w:sectPr w:rsidR="00432677" w:rsidSect="00636218">
          <w:footnotePr>
            <w:numRestart w:val="eachSect"/>
          </w:footnotePr>
          <w:type w:val="continuous"/>
          <w:pgSz w:w="11907" w:h="16840" w:code="9"/>
          <w:pgMar w:top="1418" w:right="1134" w:bottom="1134" w:left="1134" w:header="680" w:footer="567" w:gutter="0"/>
          <w:cols w:num="2" w:space="720"/>
        </w:sectPr>
      </w:pPr>
    </w:p>
    <w:p w14:paraId="45B6CBD2" w14:textId="77777777" w:rsidR="00432677" w:rsidRDefault="00432677" w:rsidP="004112A9">
      <w:pPr>
        <w:keepNext/>
        <w:jc w:val="center"/>
        <w:sectPr w:rsidR="00432677" w:rsidSect="00872417">
          <w:headerReference w:type="default" r:id="rId20"/>
          <w:footnotePr>
            <w:numRestart w:val="eachSect"/>
          </w:footnotePr>
          <w:type w:val="continuous"/>
          <w:pgSz w:w="11907" w:h="16840" w:code="9"/>
          <w:pgMar w:top="1418" w:right="1134" w:bottom="1134" w:left="1134" w:header="680" w:footer="567" w:gutter="0"/>
          <w:cols w:space="720"/>
        </w:sectPr>
      </w:pP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5"/>
    </w:p>
    <w:p w14:paraId="3293A1C8" w14:textId="77777777" w:rsidR="0078161F" w:rsidRDefault="0078161F" w:rsidP="0078161F">
      <w:pPr>
        <w:pStyle w:val="2222"/>
        <w:spacing w:line="288" w:lineRule="auto"/>
        <w:ind w:firstLineChars="0" w:firstLine="0"/>
        <w:rPr>
          <w:lang w:eastAsia="ko-KR"/>
        </w:rPr>
      </w:pPr>
      <w:r>
        <w:rPr>
          <w:lang w:eastAsia="ko-KR"/>
        </w:rPr>
        <w:t xml:space="preserve">In this contribution, to reduce Type II CSI payload, a differential CSI based Type II CSI reporting mechanism is presented. The observations and proposals made are summarized as follows. </w:t>
      </w:r>
    </w:p>
    <w:p w14:paraId="4C786543" w14:textId="77777777" w:rsidR="00130642" w:rsidRDefault="00130642" w:rsidP="00130642">
      <w:pPr>
        <w:rPr>
          <w:i/>
          <w:iCs/>
          <w:lang w:eastAsia="ko-KR"/>
        </w:rPr>
      </w:pPr>
      <w:r>
        <w:rPr>
          <w:b/>
          <w:i/>
          <w:iCs/>
          <w:lang w:eastAsia="ko-KR"/>
        </w:rPr>
        <w:t>Proposal</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41D1897E" w14:textId="77777777" w:rsidR="00130642" w:rsidRPr="00262D9E" w:rsidRDefault="00130642" w:rsidP="00130642">
      <w:pPr>
        <w:pStyle w:val="ListParagraph"/>
        <w:numPr>
          <w:ilvl w:val="0"/>
          <w:numId w:val="32"/>
        </w:numPr>
        <w:ind w:leftChars="0"/>
        <w:rPr>
          <w:i/>
          <w:iCs/>
          <w:lang w:eastAsia="ko-KR"/>
        </w:rPr>
      </w:pPr>
      <w:r w:rsidRPr="00262D9E">
        <w:rPr>
          <w:i/>
          <w:iCs/>
          <w:lang w:eastAsia="ko-KR"/>
        </w:rPr>
        <w:lastRenderedPageBreak/>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w:t>
      </w:r>
      <w:r>
        <w:rPr>
          <w:i/>
          <w:iCs/>
          <w:lang w:eastAsia="ko-KR"/>
        </w:rPr>
        <w:t>s</w:t>
      </w:r>
      <w:r w:rsidRPr="00262D9E">
        <w:rPr>
          <w:i/>
          <w:iCs/>
          <w:lang w:eastAsia="ko-KR"/>
        </w:rPr>
        <w:t xml:space="preserve">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w:t>
      </w:r>
      <w:r>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Pr="00262D9E">
        <w:rPr>
          <w:i/>
          <w:iCs/>
          <w:lang w:eastAsia="ko-KR"/>
        </w:rPr>
        <w:t xml:space="preserve"> </w:t>
      </w:r>
      <w:r>
        <w:rPr>
          <w:i/>
          <w:iCs/>
          <w:lang w:eastAsia="ko-KR"/>
        </w:rPr>
        <w:t xml:space="preserve">(cf. </w:t>
      </w:r>
      <w:r w:rsidRPr="00E06187">
        <w:rPr>
          <w:i/>
          <w:iCs/>
          <w:lang w:eastAsia="ko-KR"/>
        </w:rPr>
        <w:fldChar w:fldCharType="begin"/>
      </w:r>
      <w:r w:rsidRPr="00E06187">
        <w:rPr>
          <w:i/>
          <w:iCs/>
          <w:lang w:eastAsia="ko-KR"/>
        </w:rPr>
        <w:instrText xml:space="preserve"> REF _Ref473231235 \h  \* MERGEFORMAT </w:instrText>
      </w:r>
      <w:r w:rsidRPr="00E06187">
        <w:rPr>
          <w:i/>
          <w:iCs/>
          <w:lang w:eastAsia="ko-KR"/>
        </w:rPr>
      </w:r>
      <w:r w:rsidRPr="00E06187">
        <w:rPr>
          <w:i/>
          <w:iCs/>
          <w:lang w:eastAsia="ko-KR"/>
        </w:rPr>
        <w:fldChar w:fldCharType="separate"/>
      </w:r>
      <w:r w:rsidRPr="007330D4">
        <w:rPr>
          <w:i/>
        </w:rPr>
        <w:t xml:space="preserve">Figure </w:t>
      </w:r>
      <w:r w:rsidRPr="007330D4">
        <w:rPr>
          <w:i/>
          <w:noProof/>
        </w:rPr>
        <w:t>2</w:t>
      </w:r>
      <w:r w:rsidRPr="00E06187">
        <w:rPr>
          <w:i/>
          <w:iCs/>
          <w:lang w:eastAsia="ko-KR"/>
        </w:rPr>
        <w:fldChar w:fldCharType="end"/>
      </w:r>
      <w:r w:rsidRPr="00E06187">
        <w:rPr>
          <w:i/>
          <w:iCs/>
          <w:lang w:eastAsia="ko-KR"/>
        </w:rPr>
        <w:t>).</w:t>
      </w:r>
    </w:p>
    <w:p w14:paraId="462A5DC0" w14:textId="3EEF1D0C" w:rsidR="007432FD" w:rsidRDefault="00130642" w:rsidP="00130642">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w:t>
      </w:r>
      <w:r>
        <w:rPr>
          <w:i/>
          <w:iCs/>
          <w:lang w:eastAsia="ko-KR"/>
        </w:rPr>
        <w:t xml:space="preserve">SB </w:t>
      </w:r>
      <w:r w:rsidRPr="00262D9E">
        <w:rPr>
          <w:i/>
          <w:iCs/>
          <w:lang w:eastAsia="ko-KR"/>
        </w:rPr>
        <w:t xml:space="preserve">phase and </w:t>
      </w:r>
      <w:r>
        <w:rPr>
          <w:i/>
          <w:iCs/>
          <w:lang w:eastAsia="ko-KR"/>
        </w:rPr>
        <w:t xml:space="preserve">WB or WB+SB </w:t>
      </w:r>
      <w:r w:rsidRPr="00262D9E">
        <w:rPr>
          <w:i/>
          <w:iCs/>
          <w:lang w:eastAsia="ko-KR"/>
        </w:rPr>
        <w:t>amplitude</w:t>
      </w:r>
      <w:r>
        <w:rPr>
          <w:i/>
          <w:iCs/>
          <w:lang w:eastAsia="ko-KR"/>
        </w:rPr>
        <w:t xml:space="preserve"> of coefficients corresponding to 2 beams in each of T CSI reports.</w:t>
      </w:r>
    </w:p>
    <w:p w14:paraId="09661523" w14:textId="77777777" w:rsidR="007330D4" w:rsidRDefault="007330D4" w:rsidP="007330D4">
      <w:pPr>
        <w:rPr>
          <w:i/>
          <w:lang w:eastAsia="ko-KR"/>
        </w:rPr>
      </w:pPr>
      <w:r w:rsidRPr="003E2B4B">
        <w:rPr>
          <w:b/>
          <w:i/>
          <w:lang w:eastAsia="ko-KR"/>
        </w:rPr>
        <w:t>Observation</w:t>
      </w:r>
      <w:r w:rsidRPr="003E2B4B">
        <w:rPr>
          <w:i/>
          <w:lang w:eastAsia="ko-KR"/>
        </w:rPr>
        <w:t>:</w:t>
      </w:r>
      <w:r>
        <w:rPr>
          <w:i/>
          <w:lang w:eastAsia="ko-KR"/>
        </w:rPr>
        <w:t xml:space="preserve"> </w:t>
      </w:r>
    </w:p>
    <w:p w14:paraId="2C458615" w14:textId="77777777" w:rsidR="007330D4" w:rsidRPr="00CE318C" w:rsidRDefault="007330D4" w:rsidP="007330D4">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0235929C" w14:textId="77777777" w:rsidR="007330D4" w:rsidRPr="00CE318C" w:rsidRDefault="007330D4" w:rsidP="007330D4">
      <w:pPr>
        <w:pStyle w:val="ListParagraph"/>
        <w:numPr>
          <w:ilvl w:val="0"/>
          <w:numId w:val="42"/>
        </w:numPr>
        <w:ind w:leftChars="0"/>
        <w:rPr>
          <w:i/>
        </w:rPr>
      </w:pPr>
      <w:r w:rsidRPr="00CE318C">
        <w:rPr>
          <w:i/>
        </w:rPr>
        <w:t>When compared with one-shot reporting, differential CSI reporting incurs less than 6% and 8% losses in avg. and 5% UPT</w:t>
      </w:r>
      <w:r>
        <w:rPr>
          <w:i/>
        </w:rPr>
        <w:t xml:space="preserve"> respectively</w:t>
      </w:r>
      <w:r w:rsidRPr="00CE318C">
        <w:rPr>
          <w:i/>
        </w:rPr>
        <w:t xml:space="preserve">. This loss is small considering the reduction in W2 reporting payload.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8656857" w14:textId="1E944416" w:rsidR="00C273E8" w:rsidRDefault="007B28E2" w:rsidP="00C273E8">
      <w:pPr>
        <w:pStyle w:val="2222"/>
        <w:numPr>
          <w:ilvl w:val="0"/>
          <w:numId w:val="5"/>
        </w:numPr>
        <w:spacing w:line="288" w:lineRule="auto"/>
        <w:ind w:left="357" w:firstLineChars="0" w:hanging="357"/>
        <w:rPr>
          <w:rFonts w:cs="Times New Roman"/>
          <w:lang w:val="en-US" w:eastAsia="ko-KR"/>
        </w:rPr>
      </w:pPr>
      <w:bookmarkStart w:id="14" w:name="_Ref465786808"/>
      <w:r>
        <w:rPr>
          <w:rFonts w:cs="Times New Roman"/>
          <w:lang w:val="en-US" w:eastAsia="ko-KR"/>
        </w:rPr>
        <w:t>3GPP, RAN1#89</w:t>
      </w:r>
      <w:r w:rsidR="00C273E8" w:rsidRPr="00030EAC">
        <w:rPr>
          <w:rFonts w:cs="Times New Roman"/>
          <w:lang w:val="en-US" w:eastAsia="ko-KR"/>
        </w:rPr>
        <w:t>, Chairman’s Notes</w:t>
      </w:r>
      <w:bookmarkEnd w:id="14"/>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7330D4">
        <w:rPr>
          <w:noProof/>
        </w:rPr>
        <w:t>3</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0CDC2C5D"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002D4F5E">
              <w:rPr>
                <w:rFonts w:eastAsia="Arial"/>
                <w:kern w:val="24"/>
                <w:sz w:val="21"/>
                <w:szCs w:val="32"/>
                <w:lang w:eastAsia="zh-TW"/>
              </w:rPr>
              <w:t>, 32</w:t>
            </w:r>
            <w:r w:rsidRPr="0069181E">
              <w:rPr>
                <w:rFonts w:eastAsia="Arial"/>
                <w:kern w:val="24"/>
                <w:sz w:val="21"/>
                <w:szCs w:val="32"/>
                <w:lang w:eastAsia="zh-TW"/>
              </w:rPr>
              <w:t xml:space="preserve"> </w:t>
            </w:r>
            <w:r>
              <w:rPr>
                <w:rFonts w:eastAsia="Arial"/>
                <w:kern w:val="24"/>
                <w:sz w:val="21"/>
                <w:szCs w:val="32"/>
                <w:lang w:eastAsia="zh-TW"/>
              </w:rPr>
              <w:t>ports: (4,2,2)</w:t>
            </w:r>
            <w:r w:rsidR="002D4F5E">
              <w:rPr>
                <w:rFonts w:eastAsia="Arial"/>
                <w:kern w:val="24"/>
                <w:sz w:val="21"/>
                <w:szCs w:val="32"/>
                <w:lang w:eastAsia="zh-TW"/>
              </w:rPr>
              <w:t>, (4,4,2)</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0C945D64"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w:t>
            </w:r>
            <w:r w:rsidR="00B828ED">
              <w:rPr>
                <w:rFonts w:eastAsia="Arial"/>
                <w:kern w:val="24"/>
                <w:sz w:val="21"/>
                <w:szCs w:val="32"/>
                <w:lang w:eastAsia="zh-TW"/>
              </w:rPr>
              <w:t>agreed</w:t>
            </w:r>
            <w:r>
              <w:rPr>
                <w:rFonts w:eastAsia="Arial"/>
                <w:kern w:val="24"/>
                <w:sz w:val="21"/>
                <w:szCs w:val="32"/>
                <w:lang w:eastAsia="zh-TW"/>
              </w:rPr>
              <w:t xml:space="preserve"> in </w:t>
            </w:r>
            <w:r w:rsidR="002D4F5E">
              <w:rPr>
                <w:rFonts w:eastAsia="Arial"/>
                <w:kern w:val="24"/>
                <w:sz w:val="21"/>
                <w:szCs w:val="32"/>
                <w:lang w:eastAsia="zh-TW"/>
              </w:rPr>
              <w:t>[</w:t>
            </w:r>
            <w:r w:rsidR="00B828ED">
              <w:rPr>
                <w:rFonts w:eastAsia="Arial"/>
                <w:kern w:val="24"/>
                <w:sz w:val="21"/>
                <w:szCs w:val="32"/>
                <w:lang w:eastAsia="zh-TW"/>
              </w:rPr>
              <w:t>1</w:t>
            </w:r>
            <w:r w:rsidR="002D4F5E">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03BE2" w14:textId="77777777" w:rsidR="00677364" w:rsidRDefault="00677364">
      <w:r>
        <w:separator/>
      </w:r>
    </w:p>
  </w:endnote>
  <w:endnote w:type="continuationSeparator" w:id="0">
    <w:p w14:paraId="3C36D3FC" w14:textId="77777777" w:rsidR="00677364" w:rsidRDefault="0067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5D3ED" w14:textId="77777777" w:rsidR="00677364" w:rsidRDefault="00677364">
      <w:r>
        <w:separator/>
      </w:r>
    </w:p>
  </w:footnote>
  <w:footnote w:type="continuationSeparator" w:id="0">
    <w:p w14:paraId="6124F53E" w14:textId="77777777" w:rsidR="00677364" w:rsidRDefault="0067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EA8A" w14:textId="77777777" w:rsidR="00432677" w:rsidRDefault="0043267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EE668336"/>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8"/>
  </w:num>
  <w:num w:numId="5">
    <w:abstractNumId w:val="4"/>
  </w:num>
  <w:num w:numId="6">
    <w:abstractNumId w:val="32"/>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6"/>
  </w:num>
  <w:num w:numId="15">
    <w:abstractNumId w:val="34"/>
  </w:num>
  <w:num w:numId="16">
    <w:abstractNumId w:val="41"/>
  </w:num>
  <w:num w:numId="17">
    <w:abstractNumId w:val="1"/>
  </w:num>
  <w:num w:numId="18">
    <w:abstractNumId w:val="23"/>
  </w:num>
  <w:num w:numId="19">
    <w:abstractNumId w:val="19"/>
  </w:num>
  <w:num w:numId="20">
    <w:abstractNumId w:val="13"/>
  </w:num>
  <w:num w:numId="21">
    <w:abstractNumId w:val="37"/>
  </w:num>
  <w:num w:numId="22">
    <w:abstractNumId w:val="39"/>
  </w:num>
  <w:num w:numId="23">
    <w:abstractNumId w:val="5"/>
  </w:num>
  <w:num w:numId="24">
    <w:abstractNumId w:val="14"/>
  </w:num>
  <w:num w:numId="25">
    <w:abstractNumId w:val="25"/>
  </w:num>
  <w:num w:numId="26">
    <w:abstractNumId w:val="40"/>
  </w:num>
  <w:num w:numId="27">
    <w:abstractNumId w:val="29"/>
  </w:num>
  <w:num w:numId="28">
    <w:abstractNumId w:val="24"/>
  </w:num>
  <w:num w:numId="29">
    <w:abstractNumId w:val="22"/>
  </w:num>
  <w:num w:numId="30">
    <w:abstractNumId w:val="6"/>
  </w:num>
  <w:num w:numId="31">
    <w:abstractNumId w:val="30"/>
  </w:num>
  <w:num w:numId="32">
    <w:abstractNumId w:val="42"/>
  </w:num>
  <w:num w:numId="33">
    <w:abstractNumId w:val="10"/>
  </w:num>
  <w:num w:numId="34">
    <w:abstractNumId w:val="2"/>
  </w:num>
  <w:num w:numId="35">
    <w:abstractNumId w:val="27"/>
  </w:num>
  <w:num w:numId="36">
    <w:abstractNumId w:val="33"/>
  </w:num>
  <w:num w:numId="37">
    <w:abstractNumId w:val="15"/>
  </w:num>
  <w:num w:numId="38">
    <w:abstractNumId w:val="35"/>
  </w:num>
  <w:num w:numId="39">
    <w:abstractNumId w:val="3"/>
  </w:num>
  <w:num w:numId="40">
    <w:abstractNumId w:val="16"/>
  </w:num>
  <w:num w:numId="41">
    <w:abstractNumId w:val="18"/>
  </w:num>
  <w:num w:numId="42">
    <w:abstractNumId w:val="21"/>
  </w:num>
  <w:num w:numId="4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378F0"/>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13A"/>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642"/>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A574F"/>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5B4A"/>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4F5E"/>
    <w:rsid w:val="002D53AF"/>
    <w:rsid w:val="002D5B2B"/>
    <w:rsid w:val="002D5D95"/>
    <w:rsid w:val="002D6FEE"/>
    <w:rsid w:val="002D7534"/>
    <w:rsid w:val="002E11B9"/>
    <w:rsid w:val="002E15BC"/>
    <w:rsid w:val="002E2BE8"/>
    <w:rsid w:val="002E2CB4"/>
    <w:rsid w:val="002E315D"/>
    <w:rsid w:val="002E333E"/>
    <w:rsid w:val="002E39D5"/>
    <w:rsid w:val="002E4F09"/>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4E0"/>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726"/>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677"/>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20F4"/>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627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0E3"/>
    <w:rsid w:val="00597235"/>
    <w:rsid w:val="0059775C"/>
    <w:rsid w:val="00597F38"/>
    <w:rsid w:val="005A1CF9"/>
    <w:rsid w:val="005A1D16"/>
    <w:rsid w:val="005A1F16"/>
    <w:rsid w:val="005A243A"/>
    <w:rsid w:val="005A25A5"/>
    <w:rsid w:val="005A2BF4"/>
    <w:rsid w:val="005A3A27"/>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B6D87"/>
    <w:rsid w:val="005C105E"/>
    <w:rsid w:val="005C1174"/>
    <w:rsid w:val="005C1FE0"/>
    <w:rsid w:val="005C3014"/>
    <w:rsid w:val="005C38FB"/>
    <w:rsid w:val="005C3979"/>
    <w:rsid w:val="005C44B3"/>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2FB7"/>
    <w:rsid w:val="00643083"/>
    <w:rsid w:val="00643320"/>
    <w:rsid w:val="006446E4"/>
    <w:rsid w:val="006458B7"/>
    <w:rsid w:val="00645E63"/>
    <w:rsid w:val="006464EF"/>
    <w:rsid w:val="00646DBE"/>
    <w:rsid w:val="00647880"/>
    <w:rsid w:val="0064796E"/>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77364"/>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5FC"/>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30D4"/>
    <w:rsid w:val="00735463"/>
    <w:rsid w:val="00737F4D"/>
    <w:rsid w:val="00741556"/>
    <w:rsid w:val="00741B82"/>
    <w:rsid w:val="007432FD"/>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3879"/>
    <w:rsid w:val="0077429E"/>
    <w:rsid w:val="00774491"/>
    <w:rsid w:val="00775996"/>
    <w:rsid w:val="0077688F"/>
    <w:rsid w:val="00776D43"/>
    <w:rsid w:val="00776FB7"/>
    <w:rsid w:val="007771F7"/>
    <w:rsid w:val="00777922"/>
    <w:rsid w:val="0078020B"/>
    <w:rsid w:val="00780248"/>
    <w:rsid w:val="0078028C"/>
    <w:rsid w:val="0078161F"/>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8E2"/>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1C"/>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553"/>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0FA"/>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CA3"/>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9B7"/>
    <w:rsid w:val="00927DA8"/>
    <w:rsid w:val="009310AB"/>
    <w:rsid w:val="00931E59"/>
    <w:rsid w:val="009322F2"/>
    <w:rsid w:val="00933708"/>
    <w:rsid w:val="00933BB5"/>
    <w:rsid w:val="0093516C"/>
    <w:rsid w:val="0093725F"/>
    <w:rsid w:val="00937E33"/>
    <w:rsid w:val="009446EA"/>
    <w:rsid w:val="00945482"/>
    <w:rsid w:val="00945E21"/>
    <w:rsid w:val="00947445"/>
    <w:rsid w:val="009502CE"/>
    <w:rsid w:val="00950A2C"/>
    <w:rsid w:val="0095220B"/>
    <w:rsid w:val="00952316"/>
    <w:rsid w:val="00952B7C"/>
    <w:rsid w:val="009532C0"/>
    <w:rsid w:val="00954078"/>
    <w:rsid w:val="00954215"/>
    <w:rsid w:val="00954A84"/>
    <w:rsid w:val="009564A8"/>
    <w:rsid w:val="009571B3"/>
    <w:rsid w:val="009600C0"/>
    <w:rsid w:val="0096049F"/>
    <w:rsid w:val="00961820"/>
    <w:rsid w:val="0096225A"/>
    <w:rsid w:val="00962352"/>
    <w:rsid w:val="009623EE"/>
    <w:rsid w:val="00964FE6"/>
    <w:rsid w:val="00967D6D"/>
    <w:rsid w:val="00970903"/>
    <w:rsid w:val="009715D6"/>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D73"/>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460A"/>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296"/>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80"/>
    <w:rsid w:val="00A12A90"/>
    <w:rsid w:val="00A13AAC"/>
    <w:rsid w:val="00A13F3C"/>
    <w:rsid w:val="00A16523"/>
    <w:rsid w:val="00A17773"/>
    <w:rsid w:val="00A207CA"/>
    <w:rsid w:val="00A21216"/>
    <w:rsid w:val="00A22F73"/>
    <w:rsid w:val="00A232AC"/>
    <w:rsid w:val="00A23B93"/>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2F25"/>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674"/>
    <w:rsid w:val="00AC2ABA"/>
    <w:rsid w:val="00AC3BC2"/>
    <w:rsid w:val="00AC3EC6"/>
    <w:rsid w:val="00AC4104"/>
    <w:rsid w:val="00AC5F5B"/>
    <w:rsid w:val="00AC7214"/>
    <w:rsid w:val="00AC76CF"/>
    <w:rsid w:val="00AD058B"/>
    <w:rsid w:val="00AD0FDB"/>
    <w:rsid w:val="00AD1D08"/>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28ED"/>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AD6"/>
    <w:rsid w:val="00BB5018"/>
    <w:rsid w:val="00BB51CF"/>
    <w:rsid w:val="00BB53C4"/>
    <w:rsid w:val="00BB69E5"/>
    <w:rsid w:val="00BB6A0E"/>
    <w:rsid w:val="00BB6B48"/>
    <w:rsid w:val="00BC0C41"/>
    <w:rsid w:val="00BC0DC6"/>
    <w:rsid w:val="00BC0E07"/>
    <w:rsid w:val="00BC5ECA"/>
    <w:rsid w:val="00BC6B61"/>
    <w:rsid w:val="00BD0F9B"/>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BF354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21B7"/>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980"/>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11D"/>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6338"/>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F6B"/>
    <w:rsid w:val="00E1078A"/>
    <w:rsid w:val="00E10B86"/>
    <w:rsid w:val="00E11222"/>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056"/>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05F"/>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1CC"/>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3578"/>
    <w:rsid w:val="00FE47D5"/>
    <w:rsid w:val="00FE529D"/>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oleObject" Target="embeddings/Microsoft_Visio_2003-2010_Drawing.vsd"/><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59AF-4FE1-AD61-98F7C7567343}"/>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1.4517418930762489</c:v>
                </c:pt>
                <c:pt idx="1">
                  <c:v>1.5613510880155894</c:v>
                </c:pt>
                <c:pt idx="2">
                  <c:v>1.9186746987951806</c:v>
                </c:pt>
              </c:numCache>
            </c:numRef>
          </c:val>
          <c:extLst>
            <c:ext xmlns:c16="http://schemas.microsoft.com/office/drawing/2014/chart" uri="{C3380CC4-5D6E-409C-BE32-E72D297353CC}">
              <c16:uniqueId val="{00000001-59AF-4FE1-AD61-98F7C7567343}"/>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1.4184377738825591</c:v>
                </c:pt>
                <c:pt idx="1">
                  <c:v>1.5173757713543359</c:v>
                </c:pt>
                <c:pt idx="2">
                  <c:v>1.8642426850258176</c:v>
                </c:pt>
              </c:numCache>
            </c:numRef>
          </c:val>
          <c:extLst>
            <c:ext xmlns:c16="http://schemas.microsoft.com/office/drawing/2014/chart" uri="{C3380CC4-5D6E-409C-BE32-E72D297353CC}">
              <c16:uniqueId val="{00000002-59AF-4FE1-AD61-98F7C7567343}"/>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1.5913124452234881</c:v>
                </c:pt>
                <c:pt idx="1">
                  <c:v>1.7369275738876258</c:v>
                </c:pt>
                <c:pt idx="2">
                  <c:v>2.3450946643717732</c:v>
                </c:pt>
              </c:numCache>
            </c:numRef>
          </c:val>
          <c:extLst>
            <c:ext xmlns:c16="http://schemas.microsoft.com/office/drawing/2014/chart" uri="{C3380CC4-5D6E-409C-BE32-E72D297353CC}">
              <c16:uniqueId val="{00000003-59AF-4FE1-AD61-98F7C7567343}"/>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extLst>
            <c:ext xmlns:c16="http://schemas.microsoft.com/office/drawing/2014/chart" uri="{C3380CC4-5D6E-409C-BE32-E72D297353CC}">
              <c16:uniqueId val="{00000004-59AF-4FE1-AD61-98F7C7567343}"/>
            </c:ext>
          </c:extLst>
        </c:ser>
        <c:dLbls>
          <c:dLblPos val="outEnd"/>
          <c:showLegendKey val="0"/>
          <c:showVal val="1"/>
          <c:showCatName val="0"/>
          <c:showSerName val="0"/>
          <c:showPercent val="0"/>
          <c:showBubbleSize val="0"/>
        </c:dLbls>
        <c:gapWidth val="219"/>
        <c:overlap val="-27"/>
        <c:axId val="363738200"/>
        <c:axId val="363738592"/>
      </c:barChart>
      <c:catAx>
        <c:axId val="363738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592"/>
        <c:crosses val="autoZero"/>
        <c:auto val="1"/>
        <c:lblAlgn val="ctr"/>
        <c:lblOffset val="100"/>
        <c:noMultiLvlLbl val="0"/>
      </c:catAx>
      <c:valAx>
        <c:axId val="363738592"/>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C7ED-4E4C-8E57-B03259E9EF68}"/>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1.5762489044697634</c:v>
                </c:pt>
                <c:pt idx="1">
                  <c:v>1.7419291977914908</c:v>
                </c:pt>
                <c:pt idx="2">
                  <c:v>2.2424698795180724</c:v>
                </c:pt>
              </c:numCache>
            </c:numRef>
          </c:val>
          <c:extLst>
            <c:ext xmlns:c16="http://schemas.microsoft.com/office/drawing/2014/chart" uri="{C3380CC4-5D6E-409C-BE32-E72D297353CC}">
              <c16:uniqueId val="{00000001-C7ED-4E4C-8E57-B03259E9EF68}"/>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1.5008764241893076</c:v>
                </c:pt>
                <c:pt idx="1">
                  <c:v>1.6401429035401105</c:v>
                </c:pt>
                <c:pt idx="2">
                  <c:v>2.0793889845094662</c:v>
                </c:pt>
              </c:numCache>
            </c:numRef>
          </c:val>
          <c:extLst>
            <c:ext xmlns:c16="http://schemas.microsoft.com/office/drawing/2014/chart" uri="{C3380CC4-5D6E-409C-BE32-E72D297353CC}">
              <c16:uniqueId val="{00000002-C7ED-4E4C-8E57-B03259E9EF68}"/>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1.7532865907099038</c:v>
                </c:pt>
                <c:pt idx="1">
                  <c:v>2.0316986034426763</c:v>
                </c:pt>
                <c:pt idx="2">
                  <c:v>2.5849827882960414</c:v>
                </c:pt>
              </c:numCache>
            </c:numRef>
          </c:val>
          <c:extLst>
            <c:ext xmlns:c16="http://schemas.microsoft.com/office/drawing/2014/chart" uri="{C3380CC4-5D6E-409C-BE32-E72D297353CC}">
              <c16:uniqueId val="{00000003-C7ED-4E4C-8E57-B03259E9EF68}"/>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extLst>
            <c:ext xmlns:c16="http://schemas.microsoft.com/office/drawing/2014/chart" uri="{C3380CC4-5D6E-409C-BE32-E72D297353CC}">
              <c16:uniqueId val="{00000004-C7ED-4E4C-8E57-B03259E9EF68}"/>
            </c:ext>
          </c:extLst>
        </c:ser>
        <c:dLbls>
          <c:dLblPos val="outEnd"/>
          <c:showLegendKey val="0"/>
          <c:showVal val="1"/>
          <c:showCatName val="0"/>
          <c:showSerName val="0"/>
          <c:showPercent val="0"/>
          <c:showBubbleSize val="0"/>
        </c:dLbls>
        <c:gapWidth val="219"/>
        <c:overlap val="-27"/>
        <c:axId val="363739768"/>
        <c:axId val="363740160"/>
      </c:barChart>
      <c:catAx>
        <c:axId val="363739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160"/>
        <c:crosses val="autoZero"/>
        <c:auto val="1"/>
        <c:lblAlgn val="ctr"/>
        <c:lblOffset val="100"/>
        <c:noMultiLvlLbl val="0"/>
      </c:catAx>
      <c:valAx>
        <c:axId val="36374016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9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BCAB-4CE7-AB5F-41EC13CE3022}"/>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1.3483663580098835</c:v>
                </c:pt>
                <c:pt idx="1">
                  <c:v>1.4412815360571556</c:v>
                </c:pt>
                <c:pt idx="2">
                  <c:v>1.7860389020178147</c:v>
                </c:pt>
              </c:numCache>
            </c:numRef>
          </c:val>
          <c:extLst>
            <c:ext xmlns:c16="http://schemas.microsoft.com/office/drawing/2014/chart" uri="{C3380CC4-5D6E-409C-BE32-E72D297353CC}">
              <c16:uniqueId val="{00000001-BCAB-4CE7-AB5F-41EC13CE3022}"/>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1.3265844648083289</c:v>
                </c:pt>
                <c:pt idx="1">
                  <c:v>1.4087966063853539</c:v>
                </c:pt>
                <c:pt idx="2">
                  <c:v>1.7578622068714778</c:v>
                </c:pt>
              </c:numCache>
            </c:numRef>
          </c:val>
          <c:extLst>
            <c:ext xmlns:c16="http://schemas.microsoft.com/office/drawing/2014/chart" uri="{C3380CC4-5D6E-409C-BE32-E72D297353CC}">
              <c16:uniqueId val="{00000002-BCAB-4CE7-AB5F-41EC13CE3022}"/>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1.4588111116441971</c:v>
                </c:pt>
                <c:pt idx="1">
                  <c:v>1.5706630944407234</c:v>
                </c:pt>
                <c:pt idx="2">
                  <c:v>2.0385384475549899</c:v>
                </c:pt>
              </c:numCache>
            </c:numRef>
          </c:val>
          <c:extLst>
            <c:ext xmlns:c16="http://schemas.microsoft.com/office/drawing/2014/chart" uri="{C3380CC4-5D6E-409C-BE32-E72D297353CC}">
              <c16:uniqueId val="{00000003-BCAB-4CE7-AB5F-41EC13CE3022}"/>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extLst>
            <c:ext xmlns:c16="http://schemas.microsoft.com/office/drawing/2014/chart" uri="{C3380CC4-5D6E-409C-BE32-E72D297353CC}">
              <c16:uniqueId val="{00000004-BCAB-4CE7-AB5F-41EC13CE3022}"/>
            </c:ext>
          </c:extLst>
        </c:ser>
        <c:dLbls>
          <c:dLblPos val="outEnd"/>
          <c:showLegendKey val="0"/>
          <c:showVal val="1"/>
          <c:showCatName val="0"/>
          <c:showSerName val="0"/>
          <c:showPercent val="0"/>
          <c:showBubbleSize val="0"/>
        </c:dLbls>
        <c:gapWidth val="219"/>
        <c:overlap val="-27"/>
        <c:axId val="271553488"/>
        <c:axId val="363740944"/>
      </c:barChart>
      <c:catAx>
        <c:axId val="271553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944"/>
        <c:crosses val="autoZero"/>
        <c:auto val="1"/>
        <c:lblAlgn val="ctr"/>
        <c:lblOffset val="100"/>
        <c:noMultiLvlLbl val="0"/>
      </c:catAx>
      <c:valAx>
        <c:axId val="363740944"/>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1553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D91C-44E1-99BA-0EB8BE1C62CC}"/>
            </c:ext>
          </c:extLst>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1.445281389435302</c:v>
                </c:pt>
                <c:pt idx="1">
                  <c:v>1.5764679615985711</c:v>
                </c:pt>
                <c:pt idx="2">
                  <c:v>2.0052717687693145</c:v>
                </c:pt>
              </c:numCache>
            </c:numRef>
          </c:val>
          <c:extLst>
            <c:ext xmlns:c16="http://schemas.microsoft.com/office/drawing/2014/chart" uri="{C3380CC4-5D6E-409C-BE32-E72D297353CC}">
              <c16:uniqueId val="{00000001-D91C-44E1-99BA-0EB8BE1C62CC}"/>
            </c:ext>
          </c:extLst>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1.3896751907115099</c:v>
                </c:pt>
                <c:pt idx="1">
                  <c:v>1.5017302969412816</c:v>
                </c:pt>
                <c:pt idx="2">
                  <c:v>1.8951099800036357</c:v>
                </c:pt>
              </c:numCache>
            </c:numRef>
          </c:val>
          <c:extLst>
            <c:ext xmlns:c16="http://schemas.microsoft.com/office/drawing/2014/chart" uri="{C3380CC4-5D6E-409C-BE32-E72D297353CC}">
              <c16:uniqueId val="{00000002-D91C-44E1-99BA-0EB8BE1C62CC}"/>
            </c:ext>
          </c:extLst>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1.5673847334836635</c:v>
                </c:pt>
                <c:pt idx="1">
                  <c:v>1.7819825853985263</c:v>
                </c:pt>
                <c:pt idx="2">
                  <c:v>2.2432285039083801</c:v>
                </c:pt>
              </c:numCache>
            </c:numRef>
          </c:val>
          <c:extLst>
            <c:ext xmlns:c16="http://schemas.microsoft.com/office/drawing/2014/chart" uri="{C3380CC4-5D6E-409C-BE32-E72D297353CC}">
              <c16:uniqueId val="{00000003-D91C-44E1-99BA-0EB8BE1C62CC}"/>
            </c:ext>
          </c:extLst>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extLst>
            <c:ext xmlns:c16="http://schemas.microsoft.com/office/drawing/2014/chart" uri="{C3380CC4-5D6E-409C-BE32-E72D297353CC}">
              <c16:uniqueId val="{00000004-D91C-44E1-99BA-0EB8BE1C62CC}"/>
            </c:ext>
          </c:extLst>
        </c:ser>
        <c:dLbls>
          <c:dLblPos val="outEnd"/>
          <c:showLegendKey val="0"/>
          <c:showVal val="1"/>
          <c:showCatName val="0"/>
          <c:showSerName val="0"/>
          <c:showPercent val="0"/>
          <c:showBubbleSize val="0"/>
        </c:dLbls>
        <c:gapWidth val="219"/>
        <c:overlap val="-27"/>
        <c:axId val="363741728"/>
        <c:axId val="363742120"/>
      </c:barChart>
      <c:catAx>
        <c:axId val="36374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120"/>
        <c:crosses val="autoZero"/>
        <c:auto val="1"/>
        <c:lblAlgn val="ctr"/>
        <c:lblOffset val="100"/>
        <c:noMultiLvlLbl val="0"/>
      </c:catAx>
      <c:valAx>
        <c:axId val="36374212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1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-2.2940799154812681E-2</c:v>
                </c:pt>
                <c:pt idx="1">
                  <c:v>-2.8164912426675525E-2</c:v>
                </c:pt>
                <c:pt idx="2">
                  <c:v>-2.8369589594079404E-2</c:v>
                </c:pt>
              </c:numCache>
            </c:numRef>
          </c:val>
          <c:extLst>
            <c:ext xmlns:c16="http://schemas.microsoft.com/office/drawing/2014/chart" uri="{C3380CC4-5D6E-409C-BE32-E72D297353CC}">
              <c16:uniqueId val="{00000000-21D6-4356-AA9B-DECF18855D11}"/>
            </c:ext>
          </c:extLst>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-4.7817625799277216E-2</c:v>
                </c:pt>
                <c:pt idx="1">
                  <c:v>-5.8433083491814898E-2</c:v>
                </c:pt>
                <c:pt idx="2">
                  <c:v>-7.2723783939364947E-2</c:v>
                </c:pt>
              </c:numCache>
            </c:numRef>
          </c:val>
          <c:extLst>
            <c:ext xmlns:c16="http://schemas.microsoft.com/office/drawing/2014/chart" uri="{C3380CC4-5D6E-409C-BE32-E72D297353CC}">
              <c16:uniqueId val="{00000001-21D6-4356-AA9B-DECF18855D11}"/>
            </c:ext>
          </c:extLst>
        </c:ser>
        <c:dLbls>
          <c:dLblPos val="outEnd"/>
          <c:showLegendKey val="0"/>
          <c:showVal val="1"/>
          <c:showCatName val="0"/>
          <c:showSerName val="0"/>
          <c:showPercent val="0"/>
          <c:showBubbleSize val="0"/>
        </c:dLbls>
        <c:gapWidth val="219"/>
        <c:overlap val="-27"/>
        <c:axId val="363742904"/>
        <c:axId val="363743296"/>
      </c:barChart>
      <c:catAx>
        <c:axId val="363742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3296"/>
        <c:crosses val="autoZero"/>
        <c:auto val="1"/>
        <c:lblAlgn val="ctr"/>
        <c:lblOffset val="100"/>
        <c:noMultiLvlLbl val="0"/>
      </c:catAx>
      <c:valAx>
        <c:axId val="363743296"/>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0.0%</c:formatCode>
                <c:ptCount val="3"/>
                <c:pt idx="0">
                  <c:v>-1.6154284087674376E-2</c:v>
                </c:pt>
                <c:pt idx="1">
                  <c:v>-2.2538920300518968E-2</c:v>
                </c:pt>
                <c:pt idx="2">
                  <c:v>-1.5776081424936323E-2</c:v>
                </c:pt>
              </c:numCache>
            </c:numRef>
          </c:val>
          <c:extLst>
            <c:ext xmlns:c16="http://schemas.microsoft.com/office/drawing/2014/chart" uri="{C3380CC4-5D6E-409C-BE32-E72D297353CC}">
              <c16:uniqueId val="{00000000-74D7-4F0F-9614-7542426AE5AA}"/>
            </c:ext>
          </c:extLst>
        </c:ser>
        <c:ser>
          <c:idx val="1"/>
          <c:order val="1"/>
          <c:tx>
            <c:strRef>
              <c:f>Sheet1!$C$1</c:f>
              <c:strCache>
                <c:ptCount val="1"/>
                <c:pt idx="0">
                  <c:v>L = 8 beams</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0.0%</c:formatCode>
                <c:ptCount val="3"/>
                <c:pt idx="0">
                  <c:v>-3.8474306201035688E-2</c:v>
                </c:pt>
                <c:pt idx="1">
                  <c:v>-4.7408299107775054E-2</c:v>
                </c:pt>
                <c:pt idx="2">
                  <c:v>-5.493608920315473E-2</c:v>
                </c:pt>
              </c:numCache>
            </c:numRef>
          </c:val>
          <c:extLst>
            <c:ext xmlns:c16="http://schemas.microsoft.com/office/drawing/2014/chart" uri="{C3380CC4-5D6E-409C-BE32-E72D297353CC}">
              <c16:uniqueId val="{00000001-74D7-4F0F-9614-7542426AE5AA}"/>
            </c:ext>
          </c:extLst>
        </c:ser>
        <c:dLbls>
          <c:dLblPos val="outEnd"/>
          <c:showLegendKey val="0"/>
          <c:showVal val="1"/>
          <c:showCatName val="0"/>
          <c:showSerName val="0"/>
          <c:showPercent val="0"/>
          <c:showBubbleSize val="0"/>
        </c:dLbls>
        <c:gapWidth val="219"/>
        <c:overlap val="-27"/>
        <c:axId val="363744080"/>
        <c:axId val="363744472"/>
      </c:barChart>
      <c:catAx>
        <c:axId val="363744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4472"/>
        <c:crosses val="autoZero"/>
        <c:auto val="1"/>
        <c:lblAlgn val="ctr"/>
        <c:lblOffset val="100"/>
        <c:noMultiLvlLbl val="0"/>
      </c:catAx>
      <c:valAx>
        <c:axId val="363744472"/>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4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1B24D-A498-4D89-97EA-72DD4E93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7</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127</cp:revision>
  <cp:lastPrinted>2012-03-15T10:36:00Z</cp:lastPrinted>
  <dcterms:created xsi:type="dcterms:W3CDTF">2017-02-06T19:10:00Z</dcterms:created>
  <dcterms:modified xsi:type="dcterms:W3CDTF">2017-11-16T21:25:00Z</dcterms:modified>
</cp:coreProperties>
</file>